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D101E"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8"/>
        <w:gridCol w:w="6488"/>
      </w:tblGrid>
      <w:tr w:rsidR="00A851DA" w:rsidRPr="00D961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6108" w:rsidRDefault="00A851DA">
            <w:pPr>
              <w:rPr>
                <w:rFonts w:ascii="Arial" w:hAnsi="Arial" w:cs="Arial"/>
                <w:b/>
                <w:color w:val="002060"/>
                <w:sz w:val="24"/>
                <w:szCs w:val="24"/>
              </w:rPr>
            </w:pPr>
            <w:r w:rsidRPr="00D96108">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96108" w:rsidRDefault="00D96108">
            <w:pPr>
              <w:pStyle w:val="Default"/>
              <w:rPr>
                <w:rFonts w:ascii="Arial" w:hAnsi="Arial" w:cs="Arial"/>
              </w:rPr>
            </w:pPr>
            <w:r w:rsidRPr="00D96108">
              <w:rPr>
                <w:rFonts w:ascii="Arial" w:hAnsi="Arial" w:cs="Arial"/>
              </w:rPr>
              <w:t>Aleck Mandivengerei</w:t>
            </w:r>
          </w:p>
        </w:tc>
      </w:tr>
      <w:tr w:rsidR="00A851DA" w:rsidRPr="00D961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6108" w:rsidRDefault="00A851DA">
            <w:pPr>
              <w:rPr>
                <w:rFonts w:ascii="Arial" w:hAnsi="Arial" w:cs="Arial"/>
                <w:b/>
                <w:color w:val="002060"/>
                <w:sz w:val="24"/>
                <w:szCs w:val="24"/>
              </w:rPr>
            </w:pPr>
            <w:r w:rsidRPr="00D96108">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96108" w:rsidRDefault="00D96108">
            <w:pPr>
              <w:pStyle w:val="Default"/>
              <w:rPr>
                <w:rFonts w:ascii="Arial" w:hAnsi="Arial" w:cs="Arial"/>
              </w:rPr>
            </w:pPr>
            <w:r>
              <w:rPr>
                <w:rFonts w:ascii="Arial" w:hAnsi="Arial" w:cs="Arial"/>
              </w:rPr>
              <w:t>1674</w:t>
            </w:r>
          </w:p>
        </w:tc>
      </w:tr>
      <w:tr w:rsidR="00A851DA" w:rsidRPr="00D961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6108" w:rsidRDefault="00A851DA">
            <w:pPr>
              <w:rPr>
                <w:rFonts w:ascii="Arial" w:hAnsi="Arial" w:cs="Arial"/>
                <w:b/>
                <w:color w:val="002060"/>
                <w:sz w:val="24"/>
                <w:szCs w:val="24"/>
              </w:rPr>
            </w:pPr>
            <w:r w:rsidRPr="00D96108">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96108" w:rsidRDefault="00D96108">
            <w:pPr>
              <w:pStyle w:val="Default"/>
              <w:rPr>
                <w:rFonts w:ascii="Arial" w:hAnsi="Arial" w:cs="Arial"/>
              </w:rPr>
            </w:pPr>
            <w:r>
              <w:rPr>
                <w:rFonts w:ascii="Arial" w:hAnsi="Arial" w:cs="Arial"/>
              </w:rPr>
              <w:t>Diploma in Forensic Accounting</w:t>
            </w:r>
            <w:r w:rsidR="000D0CF4">
              <w:rPr>
                <w:rFonts w:ascii="Arial" w:hAnsi="Arial" w:cs="Arial"/>
              </w:rPr>
              <w:t xml:space="preserve"> (Level 4)</w:t>
            </w:r>
          </w:p>
        </w:tc>
      </w:tr>
      <w:tr w:rsidR="00A851DA" w:rsidRPr="00D961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6108" w:rsidRDefault="00A851DA">
            <w:pPr>
              <w:rPr>
                <w:rFonts w:ascii="Arial" w:hAnsi="Arial" w:cs="Arial"/>
                <w:b/>
                <w:color w:val="002060"/>
                <w:sz w:val="24"/>
                <w:szCs w:val="24"/>
              </w:rPr>
            </w:pPr>
            <w:r w:rsidRPr="00D96108">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96108" w:rsidRDefault="000D0CF4">
            <w:pPr>
              <w:rPr>
                <w:rFonts w:ascii="Arial" w:hAnsi="Arial" w:cs="Arial"/>
                <w:sz w:val="24"/>
                <w:szCs w:val="24"/>
              </w:rPr>
            </w:pPr>
            <w:r>
              <w:rPr>
                <w:rFonts w:ascii="Arial" w:hAnsi="Arial" w:cs="Arial"/>
                <w:sz w:val="24"/>
                <w:szCs w:val="24"/>
              </w:rPr>
              <w:t>07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0D0CF4">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 xml:space="preserve"> here:</w:t>
            </w:r>
          </w:p>
          <w:p w:rsidR="00662432" w:rsidRDefault="00662432" w:rsidP="00A851DA">
            <w:pPr>
              <w:rPr>
                <w:rFonts w:ascii="Arial" w:hAnsi="Arial" w:cs="Arial"/>
                <w:sz w:val="24"/>
                <w:szCs w:val="24"/>
              </w:rPr>
            </w:pPr>
          </w:p>
          <w:p w:rsidR="00662432" w:rsidRDefault="00662432" w:rsidP="00662432">
            <w:pPr>
              <w:pStyle w:val="ListParagraph"/>
              <w:numPr>
                <w:ilvl w:val="0"/>
                <w:numId w:val="6"/>
              </w:numPr>
              <w:spacing w:after="160" w:line="360" w:lineRule="auto"/>
              <w:jc w:val="both"/>
              <w:rPr>
                <w:rFonts w:ascii="Arial" w:hAnsi="Arial" w:cs="Arial"/>
                <w:sz w:val="24"/>
              </w:rPr>
            </w:pPr>
            <w:r>
              <w:rPr>
                <w:rFonts w:ascii="Arial" w:hAnsi="Arial" w:cs="Arial"/>
                <w:sz w:val="24"/>
              </w:rPr>
              <w:t>i) Evidence obtained by forensic investigators can be financial or non-financial. Both evidences are useful when investigating cases. Sources of non-financial evidence include interviews, statements analysis, handwriting analysis and body language.</w:t>
            </w:r>
          </w:p>
          <w:p w:rsidR="00662432" w:rsidRDefault="00662432" w:rsidP="00662432">
            <w:pPr>
              <w:spacing w:line="360" w:lineRule="auto"/>
              <w:ind w:left="720"/>
              <w:jc w:val="both"/>
              <w:rPr>
                <w:rFonts w:ascii="Arial" w:hAnsi="Arial" w:cs="Arial"/>
                <w:sz w:val="24"/>
              </w:rPr>
            </w:pPr>
            <w:r>
              <w:rPr>
                <w:rFonts w:ascii="Arial" w:hAnsi="Arial" w:cs="Arial"/>
                <w:sz w:val="24"/>
              </w:rPr>
              <w:t>An interview is an organised communication with a purpose. In the case of investigations, the purpose of an interview is to obtain information pertinent to the case being litigated from witnesses. Interviewing suspects is very important in securing an admission of guilty, and to establish the number of times the violations were done to the company, the amount of funds not yet expended and sources where the stolen funds are hidden. This information will rarely be obtained from financial sources.</w:t>
            </w:r>
          </w:p>
          <w:p w:rsidR="00662432" w:rsidRDefault="00662432" w:rsidP="00662432">
            <w:pPr>
              <w:spacing w:line="360" w:lineRule="auto"/>
              <w:ind w:left="720"/>
              <w:jc w:val="both"/>
              <w:rPr>
                <w:rFonts w:ascii="Arial" w:hAnsi="Arial" w:cs="Arial"/>
                <w:sz w:val="24"/>
              </w:rPr>
            </w:pPr>
          </w:p>
          <w:p w:rsidR="00662432" w:rsidRDefault="00662432" w:rsidP="00662432">
            <w:pPr>
              <w:spacing w:line="360" w:lineRule="auto"/>
              <w:ind w:left="720"/>
              <w:jc w:val="both"/>
              <w:rPr>
                <w:rFonts w:ascii="Arial" w:hAnsi="Arial" w:cs="Arial"/>
                <w:sz w:val="24"/>
              </w:rPr>
            </w:pPr>
            <w:r>
              <w:rPr>
                <w:rFonts w:ascii="Arial" w:hAnsi="Arial" w:cs="Arial"/>
                <w:sz w:val="24"/>
              </w:rPr>
              <w:t xml:space="preserve">An analysis of statements by the subject written or by word can establish valuable evidence. Statement analysis is the examination of word for word to establish the truthfulness of the proffered statement. Tenses and pronouns usage are very useful here. A famous case is when a mother who murdered her child who was reported to have been missing. Without having knowledge of the death of the child the mother changed the tenses when referring the child to past tense showing that she knew that the child was dead. Deceitful </w:t>
            </w:r>
            <w:r>
              <w:rPr>
                <w:rFonts w:ascii="Arial" w:hAnsi="Arial" w:cs="Arial"/>
                <w:sz w:val="24"/>
              </w:rPr>
              <w:lastRenderedPageBreak/>
              <w:t>persons will usually distance themselves from missing property such as usage of “the computer” instead of ‘my/our computer”.</w:t>
            </w:r>
          </w:p>
          <w:p w:rsidR="00662432" w:rsidRDefault="00662432" w:rsidP="00662432">
            <w:pPr>
              <w:spacing w:line="360" w:lineRule="auto"/>
              <w:ind w:left="720"/>
              <w:jc w:val="both"/>
              <w:rPr>
                <w:rFonts w:ascii="Arial" w:hAnsi="Arial" w:cs="Arial"/>
                <w:sz w:val="24"/>
              </w:rPr>
            </w:pPr>
          </w:p>
          <w:p w:rsidR="00662432" w:rsidRDefault="00662432" w:rsidP="00662432">
            <w:pPr>
              <w:spacing w:line="360" w:lineRule="auto"/>
              <w:ind w:left="720"/>
              <w:jc w:val="both"/>
              <w:rPr>
                <w:rFonts w:ascii="Arial" w:hAnsi="Arial" w:cs="Arial"/>
                <w:sz w:val="24"/>
              </w:rPr>
            </w:pPr>
            <w:r>
              <w:rPr>
                <w:rFonts w:ascii="Arial" w:hAnsi="Arial" w:cs="Arial"/>
                <w:sz w:val="24"/>
              </w:rPr>
              <w:t>Another valuable source of non-financial evidence is handwriting analysis. When people commit offences that involve writing statements or signing their signatures the usually use their normal handwritings and signatures. Analysis of the handwriting and signatures may establish the culprit. However, writing can change due old age or injuries. The investigator can obtain the writing samples using either dictated or non-dictated sentences.</w:t>
            </w:r>
          </w:p>
          <w:p w:rsidR="00662432" w:rsidRDefault="00662432" w:rsidP="00662432">
            <w:pPr>
              <w:spacing w:line="360" w:lineRule="auto"/>
              <w:ind w:left="720"/>
              <w:jc w:val="both"/>
              <w:rPr>
                <w:rFonts w:ascii="Arial" w:hAnsi="Arial" w:cs="Arial"/>
                <w:sz w:val="24"/>
              </w:rPr>
            </w:pPr>
          </w:p>
          <w:p w:rsidR="00662432" w:rsidRDefault="00662432" w:rsidP="00662432">
            <w:pPr>
              <w:spacing w:line="360" w:lineRule="auto"/>
              <w:ind w:left="720"/>
              <w:jc w:val="both"/>
              <w:rPr>
                <w:rFonts w:ascii="Arial" w:hAnsi="Arial" w:cs="Arial"/>
                <w:sz w:val="24"/>
              </w:rPr>
            </w:pPr>
            <w:r>
              <w:rPr>
                <w:rFonts w:ascii="Arial" w:hAnsi="Arial" w:cs="Arial"/>
                <w:sz w:val="24"/>
              </w:rPr>
              <w:t xml:space="preserve">An investigator can assess whether the interview is telling the truth by monitoring the body language. These non-verbal cues are usually involuntary and the interviewer might not be aware of these signs. Body language ranges from facial expressions, body movement, distances, voice tone, and time to respond to questions. However, it is important to note that body language may vary from place to place and with cultures. An example is that in some regions short distances is a sign of trust and respect while in another region its tabooed.   </w:t>
            </w:r>
          </w:p>
          <w:p w:rsidR="00662432" w:rsidRDefault="00662432" w:rsidP="00662432">
            <w:pPr>
              <w:spacing w:line="360" w:lineRule="auto"/>
              <w:ind w:left="720"/>
              <w:jc w:val="both"/>
              <w:rPr>
                <w:rFonts w:ascii="Arial" w:hAnsi="Arial" w:cs="Arial"/>
                <w:sz w:val="24"/>
              </w:rPr>
            </w:pPr>
          </w:p>
          <w:p w:rsidR="00662432" w:rsidRDefault="00662432" w:rsidP="00662432">
            <w:pPr>
              <w:spacing w:line="360" w:lineRule="auto"/>
              <w:ind w:left="720"/>
              <w:jc w:val="both"/>
              <w:rPr>
                <w:rFonts w:ascii="Arial" w:hAnsi="Arial" w:cs="Arial"/>
                <w:sz w:val="24"/>
              </w:rPr>
            </w:pPr>
            <w:r>
              <w:rPr>
                <w:rFonts w:ascii="Arial" w:hAnsi="Arial" w:cs="Arial"/>
                <w:sz w:val="24"/>
              </w:rPr>
              <w:t>ii) The importance of body language in the interview procedure is that when a statement is made by an interview the investigator pays attention to the body language to assess the truthfulness there of. The old adage is very useful here that says, “It is not only what you say that matters, but how you say it.”</w:t>
            </w:r>
          </w:p>
          <w:p w:rsidR="00662432" w:rsidRDefault="00662432" w:rsidP="00662432">
            <w:pPr>
              <w:spacing w:line="360" w:lineRule="auto"/>
              <w:ind w:left="720"/>
              <w:jc w:val="both"/>
              <w:rPr>
                <w:rFonts w:ascii="Arial" w:hAnsi="Arial" w:cs="Arial"/>
                <w:sz w:val="24"/>
              </w:rPr>
            </w:pPr>
          </w:p>
          <w:p w:rsidR="00662432" w:rsidRDefault="00662432" w:rsidP="00662432">
            <w:pPr>
              <w:spacing w:line="360" w:lineRule="auto"/>
              <w:ind w:left="720"/>
              <w:jc w:val="both"/>
              <w:rPr>
                <w:rFonts w:ascii="Arial" w:hAnsi="Arial" w:cs="Arial"/>
                <w:sz w:val="24"/>
              </w:rPr>
            </w:pPr>
            <w:r>
              <w:rPr>
                <w:rFonts w:ascii="Arial" w:hAnsi="Arial" w:cs="Arial"/>
                <w:sz w:val="24"/>
              </w:rPr>
              <w:t>The interviewer can monitor changes in the interviewee’ body language as the interview progresses. Usually subjects will change the body language when being deceptive such as changing posture completely as if moving away from the interviewer, changing voice tone and excessive use of illustrators such as using hands. An analysis of the body language may help the interviewer to assess whether the subject is saying the truth or not.</w:t>
            </w:r>
          </w:p>
          <w:p w:rsidR="00662432" w:rsidRDefault="00662432" w:rsidP="00662432">
            <w:pPr>
              <w:spacing w:line="360" w:lineRule="auto"/>
              <w:ind w:left="720"/>
              <w:jc w:val="both"/>
              <w:rPr>
                <w:rFonts w:ascii="Arial" w:hAnsi="Arial" w:cs="Arial"/>
                <w:sz w:val="24"/>
              </w:rPr>
            </w:pPr>
          </w:p>
          <w:p w:rsidR="00662432" w:rsidRDefault="00662432" w:rsidP="00662432">
            <w:pPr>
              <w:spacing w:line="360" w:lineRule="auto"/>
              <w:ind w:left="720"/>
              <w:jc w:val="both"/>
              <w:rPr>
                <w:rFonts w:ascii="Arial" w:hAnsi="Arial" w:cs="Arial"/>
                <w:sz w:val="24"/>
              </w:rPr>
            </w:pPr>
            <w:r>
              <w:rPr>
                <w:rFonts w:ascii="Arial" w:hAnsi="Arial" w:cs="Arial"/>
                <w:sz w:val="24"/>
              </w:rPr>
              <w:t xml:space="preserve">Apart from confirming verbal language body language actually adds to verbal language. Researches have shown that more that 70% of our communication is achieved non-verbally. It has also been said that actions speak louder than </w:t>
            </w:r>
            <w:r>
              <w:rPr>
                <w:rFonts w:ascii="Arial" w:hAnsi="Arial" w:cs="Arial"/>
                <w:sz w:val="24"/>
              </w:rPr>
              <w:lastRenderedPageBreak/>
              <w:t xml:space="preserve">words. Body language plays a key role in obtaining non-verbal communications which are using in any case.  </w:t>
            </w:r>
          </w:p>
          <w:p w:rsidR="00662432" w:rsidRDefault="00662432" w:rsidP="00662432">
            <w:pPr>
              <w:spacing w:line="360" w:lineRule="auto"/>
              <w:ind w:left="720"/>
              <w:jc w:val="both"/>
              <w:rPr>
                <w:rFonts w:ascii="Arial" w:hAnsi="Arial" w:cs="Arial"/>
                <w:sz w:val="24"/>
              </w:rPr>
            </w:pPr>
          </w:p>
          <w:p w:rsidR="00662432" w:rsidRDefault="00662432" w:rsidP="00662432">
            <w:pPr>
              <w:spacing w:line="360" w:lineRule="auto"/>
              <w:ind w:left="720"/>
              <w:jc w:val="both"/>
              <w:rPr>
                <w:rFonts w:ascii="Arial" w:hAnsi="Arial" w:cs="Arial"/>
                <w:sz w:val="24"/>
              </w:rPr>
            </w:pPr>
            <w:r>
              <w:rPr>
                <w:rFonts w:ascii="Arial" w:hAnsi="Arial" w:cs="Arial"/>
                <w:sz w:val="24"/>
              </w:rPr>
              <w:t>Body language plays a key role in determining whether the interviewee is paying attention or caring about what the interviewer is saying. The interviewer should only ask pertinent questions when the target is paying attention and listening to the questions.</w:t>
            </w:r>
          </w:p>
          <w:p w:rsidR="00662432" w:rsidRDefault="00662432" w:rsidP="00662432">
            <w:pPr>
              <w:spacing w:line="360" w:lineRule="auto"/>
              <w:ind w:left="720"/>
              <w:jc w:val="both"/>
              <w:rPr>
                <w:rFonts w:ascii="Arial" w:hAnsi="Arial" w:cs="Arial"/>
                <w:sz w:val="24"/>
              </w:rPr>
            </w:pPr>
          </w:p>
          <w:p w:rsidR="00662432" w:rsidRDefault="00662432" w:rsidP="00662432">
            <w:pPr>
              <w:spacing w:line="360" w:lineRule="auto"/>
              <w:ind w:left="720"/>
              <w:jc w:val="both"/>
              <w:rPr>
                <w:rFonts w:ascii="Arial" w:hAnsi="Arial" w:cs="Arial"/>
                <w:sz w:val="24"/>
              </w:rPr>
            </w:pPr>
            <w:r>
              <w:rPr>
                <w:rFonts w:ascii="Arial" w:hAnsi="Arial" w:cs="Arial"/>
                <w:sz w:val="24"/>
              </w:rPr>
              <w:t>Feelings about what is being discussed can be expressed by body language. Feelings are very important and should be given more attention that what is being said. An example is when an employee tells her superior that she will be happy to carry out a case but the body language may indicate that she is not happy at all.</w:t>
            </w:r>
          </w:p>
          <w:p w:rsidR="00662432" w:rsidRDefault="00662432" w:rsidP="00662432">
            <w:pPr>
              <w:spacing w:line="360" w:lineRule="auto"/>
              <w:ind w:left="720"/>
              <w:jc w:val="both"/>
              <w:rPr>
                <w:rFonts w:ascii="Arial" w:hAnsi="Arial" w:cs="Arial"/>
                <w:sz w:val="24"/>
              </w:rPr>
            </w:pPr>
          </w:p>
          <w:p w:rsidR="00662432" w:rsidRDefault="00662432" w:rsidP="00662432">
            <w:pPr>
              <w:spacing w:line="360" w:lineRule="auto"/>
              <w:ind w:left="720"/>
              <w:jc w:val="both"/>
              <w:rPr>
                <w:rFonts w:ascii="Arial" w:hAnsi="Arial" w:cs="Arial"/>
                <w:sz w:val="24"/>
              </w:rPr>
            </w:pPr>
            <w:r>
              <w:rPr>
                <w:rFonts w:ascii="Arial" w:hAnsi="Arial" w:cs="Arial"/>
                <w:sz w:val="24"/>
              </w:rPr>
              <w:t>iii)  SCAN is an acronym that stands for Scientific Content Analysis.  This technique is used to analyse words used by people in order to determine their accuracy. If properly used the technique can detect missing information, concealed information and assess whether the statements made are true or not.</w:t>
            </w:r>
          </w:p>
          <w:p w:rsidR="00662432" w:rsidRDefault="00662432" w:rsidP="00662432">
            <w:pPr>
              <w:spacing w:line="360" w:lineRule="auto"/>
              <w:ind w:left="720"/>
              <w:jc w:val="both"/>
              <w:rPr>
                <w:rFonts w:ascii="Arial" w:hAnsi="Arial" w:cs="Arial"/>
                <w:sz w:val="24"/>
              </w:rPr>
            </w:pPr>
            <w:r>
              <w:rPr>
                <w:rFonts w:ascii="Arial" w:hAnsi="Arial" w:cs="Arial"/>
                <w:sz w:val="24"/>
              </w:rPr>
              <w:t xml:space="preserve">When investigating a case, the investigator can make use of the SCAN analysis by giving the witness or subject a piece of paper and pen to write on. The investigator then asks the subject to write her version of what has happened from start to end of an incident. Here the subject just provides the information on her own. </w:t>
            </w:r>
          </w:p>
          <w:p w:rsidR="00662432" w:rsidRDefault="00662432" w:rsidP="00662432">
            <w:pPr>
              <w:spacing w:line="360" w:lineRule="auto"/>
              <w:ind w:left="720"/>
              <w:jc w:val="both"/>
              <w:rPr>
                <w:rFonts w:ascii="Arial" w:hAnsi="Arial" w:cs="Arial"/>
                <w:sz w:val="24"/>
              </w:rPr>
            </w:pPr>
          </w:p>
          <w:p w:rsidR="00662432" w:rsidRDefault="00662432" w:rsidP="00662432">
            <w:pPr>
              <w:spacing w:line="360" w:lineRule="auto"/>
              <w:ind w:left="720"/>
              <w:jc w:val="both"/>
              <w:rPr>
                <w:rFonts w:ascii="Arial" w:hAnsi="Arial" w:cs="Arial"/>
                <w:sz w:val="24"/>
              </w:rPr>
            </w:pPr>
            <w:r>
              <w:rPr>
                <w:rFonts w:ascii="Arial" w:hAnsi="Arial" w:cs="Arial"/>
                <w:sz w:val="24"/>
              </w:rPr>
              <w:t>With this process a number of witnesses can be interviewed at once and at times the investigator can make use of a questionnaire. When the subject has provided his account of what has happened the investigator then analyse the statements critically.  The investigator will pay special attention to every word in the witness statement, pronouns usage, subjective time and language changes.</w:t>
            </w:r>
          </w:p>
          <w:p w:rsidR="00662432" w:rsidRDefault="00662432" w:rsidP="00662432">
            <w:pPr>
              <w:spacing w:line="360" w:lineRule="auto"/>
              <w:ind w:left="720"/>
              <w:jc w:val="both"/>
              <w:rPr>
                <w:rFonts w:ascii="Arial" w:hAnsi="Arial" w:cs="Arial"/>
                <w:sz w:val="24"/>
              </w:rPr>
            </w:pPr>
          </w:p>
          <w:p w:rsidR="00662432" w:rsidRDefault="00662432" w:rsidP="00662432">
            <w:pPr>
              <w:spacing w:line="360" w:lineRule="auto"/>
              <w:ind w:left="720"/>
              <w:jc w:val="both"/>
              <w:rPr>
                <w:rFonts w:ascii="Arial" w:hAnsi="Arial" w:cs="Arial"/>
                <w:sz w:val="24"/>
              </w:rPr>
            </w:pPr>
            <w:r>
              <w:rPr>
                <w:rFonts w:ascii="Arial" w:hAnsi="Arial" w:cs="Arial"/>
                <w:sz w:val="24"/>
              </w:rPr>
              <w:t xml:space="preserve">The SCAN analysis disregards the use of body language but relies on the subject’s own words. After analyzing the words, the investigator then draws conclusions and solves the case, </w:t>
            </w:r>
            <w:sdt>
              <w:sdtPr>
                <w:rPr>
                  <w:rFonts w:ascii="Arial" w:hAnsi="Arial" w:cs="Arial"/>
                  <w:sz w:val="24"/>
                </w:rPr>
                <w:id w:val="-1854341328"/>
                <w:citation/>
              </w:sdtPr>
              <w:sdtContent>
                <w:r>
                  <w:rPr>
                    <w:rFonts w:ascii="Arial" w:hAnsi="Arial" w:cs="Arial"/>
                    <w:sz w:val="24"/>
                  </w:rPr>
                  <w:fldChar w:fldCharType="begin"/>
                </w:r>
                <w:r>
                  <w:rPr>
                    <w:rFonts w:ascii="Arial" w:hAnsi="Arial" w:cs="Arial"/>
                    <w:sz w:val="24"/>
                  </w:rPr>
                  <w:instrText xml:space="preserve"> CITATION Sap16 \l 1033 </w:instrText>
                </w:r>
                <w:r>
                  <w:rPr>
                    <w:rFonts w:ascii="Arial" w:hAnsi="Arial" w:cs="Arial"/>
                    <w:sz w:val="24"/>
                  </w:rPr>
                  <w:fldChar w:fldCharType="separate"/>
                </w:r>
                <w:r w:rsidRPr="005656A0">
                  <w:rPr>
                    <w:rFonts w:ascii="Arial" w:hAnsi="Arial" w:cs="Arial"/>
                    <w:noProof/>
                    <w:sz w:val="24"/>
                  </w:rPr>
                  <w:t>(Sapir, 2016)</w:t>
                </w:r>
                <w:r>
                  <w:rPr>
                    <w:rFonts w:ascii="Arial" w:hAnsi="Arial" w:cs="Arial"/>
                    <w:sz w:val="24"/>
                  </w:rPr>
                  <w:fldChar w:fldCharType="end"/>
                </w:r>
              </w:sdtContent>
            </w:sdt>
            <w:r>
              <w:rPr>
                <w:rFonts w:ascii="Arial" w:hAnsi="Arial" w:cs="Arial"/>
                <w:sz w:val="24"/>
              </w:rPr>
              <w:t>.</w:t>
            </w:r>
          </w:p>
          <w:p w:rsidR="00662432" w:rsidRDefault="00662432" w:rsidP="00662432">
            <w:pPr>
              <w:spacing w:line="360" w:lineRule="auto"/>
              <w:ind w:left="720"/>
              <w:jc w:val="both"/>
              <w:rPr>
                <w:rFonts w:ascii="Arial" w:hAnsi="Arial" w:cs="Arial"/>
                <w:sz w:val="24"/>
              </w:rPr>
            </w:pPr>
          </w:p>
          <w:p w:rsidR="00662432" w:rsidRDefault="00662432" w:rsidP="00662432">
            <w:pPr>
              <w:spacing w:line="360" w:lineRule="auto"/>
              <w:ind w:left="720"/>
              <w:jc w:val="both"/>
              <w:rPr>
                <w:rFonts w:ascii="Arial" w:hAnsi="Arial" w:cs="Arial"/>
                <w:sz w:val="24"/>
              </w:rPr>
            </w:pPr>
            <w:r>
              <w:rPr>
                <w:rFonts w:ascii="Arial" w:hAnsi="Arial" w:cs="Arial"/>
                <w:sz w:val="24"/>
              </w:rPr>
              <w:t>iv) Visual assessing cue refers to language of the eye and the principles related to the communications derived from eye movements. Investigators elicit valuable information from the subject’s eye movements.</w:t>
            </w:r>
          </w:p>
          <w:p w:rsidR="00662432" w:rsidRDefault="00662432" w:rsidP="00662432">
            <w:pPr>
              <w:spacing w:line="360" w:lineRule="auto"/>
              <w:ind w:left="720"/>
              <w:jc w:val="both"/>
              <w:rPr>
                <w:rFonts w:ascii="Arial" w:hAnsi="Arial" w:cs="Arial"/>
                <w:sz w:val="24"/>
              </w:rPr>
            </w:pPr>
            <w:r>
              <w:rPr>
                <w:rFonts w:ascii="Arial" w:hAnsi="Arial" w:cs="Arial"/>
                <w:sz w:val="24"/>
              </w:rPr>
              <w:t>An interpretation of the interviewee’s eye movements may assist the investigator in linking the verbal words to eye movements and to obtain more information.</w:t>
            </w:r>
          </w:p>
          <w:p w:rsidR="00662432" w:rsidRDefault="00662432" w:rsidP="00662432">
            <w:pPr>
              <w:spacing w:line="360" w:lineRule="auto"/>
              <w:ind w:left="720"/>
              <w:jc w:val="both"/>
              <w:rPr>
                <w:rFonts w:ascii="Arial" w:hAnsi="Arial" w:cs="Arial"/>
                <w:sz w:val="24"/>
              </w:rPr>
            </w:pPr>
          </w:p>
          <w:p w:rsidR="00662432" w:rsidRDefault="00662432" w:rsidP="00662432">
            <w:pPr>
              <w:spacing w:line="360" w:lineRule="auto"/>
              <w:ind w:left="720"/>
              <w:jc w:val="both"/>
              <w:rPr>
                <w:rFonts w:ascii="Arial" w:hAnsi="Arial" w:cs="Arial"/>
                <w:sz w:val="24"/>
              </w:rPr>
            </w:pPr>
            <w:r>
              <w:rPr>
                <w:rFonts w:ascii="Arial" w:hAnsi="Arial" w:cs="Arial"/>
                <w:sz w:val="24"/>
              </w:rPr>
              <w:t>The following is a list of example of eye movements that an investigator can witness during investigations.</w:t>
            </w:r>
          </w:p>
          <w:p w:rsidR="00662432" w:rsidRDefault="00662432" w:rsidP="00662432">
            <w:pPr>
              <w:spacing w:line="360" w:lineRule="auto"/>
              <w:ind w:left="720"/>
              <w:jc w:val="both"/>
              <w:rPr>
                <w:rFonts w:ascii="Arial" w:hAnsi="Arial" w:cs="Arial"/>
                <w:sz w:val="24"/>
              </w:rPr>
            </w:pPr>
          </w:p>
          <w:p w:rsidR="00662432" w:rsidRDefault="00662432" w:rsidP="00662432">
            <w:pPr>
              <w:spacing w:line="360" w:lineRule="auto"/>
              <w:ind w:left="720"/>
              <w:jc w:val="both"/>
              <w:rPr>
                <w:rFonts w:ascii="Arial" w:hAnsi="Arial" w:cs="Arial"/>
                <w:sz w:val="24"/>
              </w:rPr>
            </w:pPr>
            <w:r w:rsidRPr="00243D63">
              <w:rPr>
                <w:rFonts w:ascii="Arial" w:hAnsi="Arial" w:cs="Arial"/>
                <w:b/>
                <w:sz w:val="24"/>
              </w:rPr>
              <w:t>Eyes up and to the left.</w:t>
            </w:r>
            <w:r>
              <w:rPr>
                <w:rFonts w:ascii="Arial" w:hAnsi="Arial" w:cs="Arial"/>
                <w:b/>
                <w:sz w:val="24"/>
              </w:rPr>
              <w:t xml:space="preserve"> </w:t>
            </w:r>
            <w:r>
              <w:rPr>
                <w:rFonts w:ascii="Arial" w:hAnsi="Arial" w:cs="Arial"/>
                <w:sz w:val="24"/>
              </w:rPr>
              <w:t xml:space="preserve"> Raising eyes up in eye body language is a sign of thinking. If an interviewee looks up and to the left she might be processing information usually about a past experience in visual images such as remembering the colour of one’s first suit.  The interviewer will link this body language with what is said verbally.</w:t>
            </w:r>
          </w:p>
          <w:p w:rsidR="00662432" w:rsidRPr="00354A82" w:rsidRDefault="00662432" w:rsidP="00662432">
            <w:pPr>
              <w:spacing w:line="360" w:lineRule="auto"/>
              <w:ind w:left="720"/>
              <w:jc w:val="both"/>
              <w:rPr>
                <w:rFonts w:ascii="Arial" w:hAnsi="Arial" w:cs="Arial"/>
                <w:sz w:val="24"/>
              </w:rPr>
            </w:pPr>
            <w:r>
              <w:rPr>
                <w:rFonts w:ascii="Arial" w:hAnsi="Arial" w:cs="Arial"/>
                <w:b/>
                <w:sz w:val="24"/>
              </w:rPr>
              <w:t xml:space="preserve">Eyes to the left towards the ear. </w:t>
            </w:r>
            <w:r>
              <w:rPr>
                <w:rFonts w:ascii="Arial" w:hAnsi="Arial" w:cs="Arial"/>
                <w:sz w:val="24"/>
              </w:rPr>
              <w:t xml:space="preserve">This is usually associated with trying to recall past sounds. It will be like internally the person is consulting the ear that heard the sound in the past. Eye movements usually stimulate the internal thinking process. </w:t>
            </w:r>
          </w:p>
          <w:p w:rsidR="00662432" w:rsidRDefault="00662432" w:rsidP="00662432">
            <w:pPr>
              <w:spacing w:line="360" w:lineRule="auto"/>
              <w:ind w:left="720"/>
              <w:jc w:val="both"/>
              <w:rPr>
                <w:rFonts w:ascii="Arial" w:hAnsi="Arial" w:cs="Arial"/>
                <w:sz w:val="24"/>
              </w:rPr>
            </w:pPr>
            <w:r>
              <w:rPr>
                <w:rFonts w:ascii="Arial" w:hAnsi="Arial" w:cs="Arial"/>
                <w:b/>
                <w:sz w:val="24"/>
              </w:rPr>
              <w:t xml:space="preserve">Looking downwards. </w:t>
            </w:r>
            <w:r>
              <w:rPr>
                <w:rFonts w:ascii="Arial" w:hAnsi="Arial" w:cs="Arial"/>
                <w:sz w:val="24"/>
              </w:rPr>
              <w:t>It is generally accepted that if one is saying the truth he looks directly into the eyes of the other person. When on the other hand the subject looks downwards it is usually a sign of submission, defeat or being guilt.</w:t>
            </w:r>
          </w:p>
          <w:p w:rsidR="00662432" w:rsidRDefault="00662432" w:rsidP="00662432">
            <w:pPr>
              <w:spacing w:line="360" w:lineRule="auto"/>
              <w:ind w:left="720"/>
              <w:jc w:val="both"/>
              <w:rPr>
                <w:rFonts w:ascii="Arial" w:hAnsi="Arial" w:cs="Arial"/>
                <w:sz w:val="24"/>
              </w:rPr>
            </w:pPr>
          </w:p>
          <w:p w:rsidR="00662432" w:rsidRPr="00354A82" w:rsidRDefault="00662432" w:rsidP="00662432">
            <w:pPr>
              <w:spacing w:line="360" w:lineRule="auto"/>
              <w:ind w:left="720"/>
              <w:jc w:val="both"/>
              <w:rPr>
                <w:rFonts w:ascii="Arial" w:hAnsi="Arial" w:cs="Arial"/>
                <w:sz w:val="24"/>
              </w:rPr>
            </w:pPr>
            <w:r w:rsidRPr="00C92CFE">
              <w:rPr>
                <w:rFonts w:ascii="Arial" w:hAnsi="Arial" w:cs="Arial"/>
                <w:sz w:val="24"/>
              </w:rPr>
              <w:t xml:space="preserve">The eye language should be used with caution as </w:t>
            </w:r>
            <w:r>
              <w:rPr>
                <w:rFonts w:ascii="Arial" w:hAnsi="Arial" w:cs="Arial"/>
                <w:sz w:val="24"/>
              </w:rPr>
              <w:t xml:space="preserve">the above eye movements may convey different meaning if the interviewee is left handed. The above observations are for right handed persons. </w:t>
            </w:r>
          </w:p>
          <w:p w:rsidR="00662432" w:rsidRDefault="00662432" w:rsidP="00662432">
            <w:pPr>
              <w:spacing w:line="360" w:lineRule="auto"/>
              <w:ind w:left="720"/>
              <w:jc w:val="both"/>
              <w:rPr>
                <w:rFonts w:ascii="Arial" w:hAnsi="Arial" w:cs="Arial"/>
                <w:sz w:val="24"/>
              </w:rPr>
            </w:pPr>
            <w:r>
              <w:rPr>
                <w:rFonts w:ascii="Arial" w:hAnsi="Arial" w:cs="Arial"/>
                <w:sz w:val="24"/>
              </w:rPr>
              <w:t xml:space="preserve"> </w:t>
            </w:r>
          </w:p>
          <w:p w:rsidR="00662432" w:rsidRDefault="00662432" w:rsidP="00662432">
            <w:pPr>
              <w:spacing w:line="360" w:lineRule="auto"/>
              <w:ind w:left="720"/>
              <w:jc w:val="both"/>
              <w:rPr>
                <w:rFonts w:ascii="Arial" w:hAnsi="Arial" w:cs="Arial"/>
                <w:sz w:val="24"/>
              </w:rPr>
            </w:pPr>
            <w:r>
              <w:rPr>
                <w:rFonts w:ascii="Arial" w:hAnsi="Arial" w:cs="Arial"/>
                <w:sz w:val="24"/>
              </w:rPr>
              <w:t>v)  Deception cues other than body languages include the following: -</w:t>
            </w:r>
          </w:p>
          <w:p w:rsidR="00662432" w:rsidRDefault="00662432" w:rsidP="00662432">
            <w:pPr>
              <w:spacing w:line="360" w:lineRule="auto"/>
              <w:ind w:left="720"/>
              <w:jc w:val="both"/>
              <w:rPr>
                <w:rFonts w:ascii="Arial" w:hAnsi="Arial" w:cs="Arial"/>
                <w:sz w:val="24"/>
              </w:rPr>
            </w:pPr>
          </w:p>
          <w:p w:rsidR="00662432" w:rsidRDefault="00662432" w:rsidP="00662432">
            <w:pPr>
              <w:spacing w:line="360" w:lineRule="auto"/>
              <w:ind w:left="720"/>
              <w:jc w:val="both"/>
              <w:rPr>
                <w:rFonts w:ascii="Arial" w:hAnsi="Arial" w:cs="Arial"/>
                <w:sz w:val="24"/>
              </w:rPr>
            </w:pPr>
            <w:r w:rsidRPr="00DE6340">
              <w:rPr>
                <w:rFonts w:ascii="Arial" w:hAnsi="Arial" w:cs="Arial"/>
                <w:b/>
                <w:sz w:val="24"/>
              </w:rPr>
              <w:t xml:space="preserve">Interpersonal </w:t>
            </w:r>
            <w:r>
              <w:rPr>
                <w:rFonts w:ascii="Arial" w:hAnsi="Arial" w:cs="Arial"/>
                <w:b/>
                <w:sz w:val="24"/>
              </w:rPr>
              <w:t xml:space="preserve">interaction. </w:t>
            </w:r>
            <w:r>
              <w:rPr>
                <w:rFonts w:ascii="Arial" w:hAnsi="Arial" w:cs="Arial"/>
                <w:sz w:val="24"/>
              </w:rPr>
              <w:t>A subject may make inconsistent gestures such as the case when a person nods their head and then say no. In this case the verbal and the non-verbal communication are inconsistent.</w:t>
            </w:r>
          </w:p>
          <w:p w:rsidR="00662432" w:rsidRDefault="00662432" w:rsidP="00662432">
            <w:pPr>
              <w:spacing w:line="360" w:lineRule="auto"/>
              <w:ind w:left="720"/>
              <w:jc w:val="both"/>
              <w:rPr>
                <w:rFonts w:ascii="Arial" w:hAnsi="Arial" w:cs="Arial"/>
                <w:sz w:val="24"/>
              </w:rPr>
            </w:pPr>
            <w:r>
              <w:rPr>
                <w:rFonts w:ascii="Arial" w:hAnsi="Arial" w:cs="Arial"/>
                <w:b/>
                <w:sz w:val="24"/>
              </w:rPr>
              <w:lastRenderedPageBreak/>
              <w:t xml:space="preserve">Emotional States. </w:t>
            </w:r>
            <w:r>
              <w:rPr>
                <w:rFonts w:ascii="Arial" w:hAnsi="Arial" w:cs="Arial"/>
                <w:sz w:val="24"/>
              </w:rPr>
              <w:t xml:space="preserve">Deceitful </w:t>
            </w:r>
            <w:r w:rsidRPr="00DE6340">
              <w:rPr>
                <w:rFonts w:ascii="Arial" w:hAnsi="Arial" w:cs="Arial"/>
                <w:sz w:val="24"/>
              </w:rPr>
              <w:t>person</w:t>
            </w:r>
            <w:r>
              <w:rPr>
                <w:rFonts w:ascii="Arial" w:hAnsi="Arial" w:cs="Arial"/>
                <w:sz w:val="24"/>
              </w:rPr>
              <w:t>s</w:t>
            </w:r>
            <w:r w:rsidRPr="00DE6340">
              <w:rPr>
                <w:rFonts w:ascii="Arial" w:hAnsi="Arial" w:cs="Arial"/>
                <w:sz w:val="24"/>
              </w:rPr>
              <w:t xml:space="preserve"> being interviewed will normally be unwilling to get closer or shake hand with the interviewer.</w:t>
            </w:r>
          </w:p>
          <w:p w:rsidR="00662432" w:rsidRDefault="00662432" w:rsidP="00662432">
            <w:pPr>
              <w:spacing w:line="360" w:lineRule="auto"/>
              <w:ind w:left="720"/>
              <w:jc w:val="both"/>
              <w:rPr>
                <w:rFonts w:ascii="Arial" w:hAnsi="Arial" w:cs="Arial"/>
                <w:sz w:val="24"/>
              </w:rPr>
            </w:pPr>
            <w:r>
              <w:rPr>
                <w:rFonts w:ascii="Arial" w:hAnsi="Arial" w:cs="Arial"/>
                <w:sz w:val="24"/>
              </w:rPr>
              <w:t>Deceitful persons will usually dissociate themselves from the questioned document or property. In a case involving a computer s deceitful person will use the pronoun ‘the computer’ rather than my computer.</w:t>
            </w:r>
          </w:p>
          <w:p w:rsidR="00662432" w:rsidRDefault="00662432" w:rsidP="00662432">
            <w:pPr>
              <w:spacing w:line="360" w:lineRule="auto"/>
              <w:ind w:left="720"/>
              <w:jc w:val="both"/>
              <w:rPr>
                <w:rFonts w:ascii="Arial" w:hAnsi="Arial" w:cs="Arial"/>
                <w:sz w:val="24"/>
              </w:rPr>
            </w:pPr>
          </w:p>
          <w:p w:rsidR="00662432" w:rsidRDefault="00662432" w:rsidP="00662432">
            <w:pPr>
              <w:spacing w:line="360" w:lineRule="auto"/>
              <w:ind w:left="720"/>
              <w:jc w:val="both"/>
              <w:rPr>
                <w:rFonts w:ascii="Arial" w:hAnsi="Arial" w:cs="Arial"/>
                <w:sz w:val="24"/>
              </w:rPr>
            </w:pPr>
            <w:r w:rsidRPr="00460BF7">
              <w:rPr>
                <w:rFonts w:ascii="Arial" w:hAnsi="Arial" w:cs="Arial"/>
                <w:b/>
                <w:sz w:val="24"/>
              </w:rPr>
              <w:t>Psychological</w:t>
            </w:r>
            <w:r>
              <w:rPr>
                <w:rFonts w:ascii="Arial" w:hAnsi="Arial" w:cs="Arial"/>
                <w:b/>
                <w:sz w:val="24"/>
              </w:rPr>
              <w:t xml:space="preserve"> frames. </w:t>
            </w:r>
            <w:r>
              <w:rPr>
                <w:rFonts w:ascii="Arial" w:hAnsi="Arial" w:cs="Arial"/>
                <w:sz w:val="24"/>
              </w:rPr>
              <w:t xml:space="preserve">Generally, individuals who lie or cheat will leave out the details of what actually went wrong as the statements will be merely fictitious. If a statement is said out and the subject is asked again about the same issue the version of the story will change to some extent. </w:t>
            </w:r>
          </w:p>
          <w:p w:rsidR="00662432" w:rsidRDefault="00662432" w:rsidP="00662432">
            <w:pPr>
              <w:spacing w:line="360" w:lineRule="auto"/>
              <w:ind w:left="720"/>
              <w:jc w:val="both"/>
              <w:rPr>
                <w:rFonts w:ascii="Arial" w:hAnsi="Arial" w:cs="Arial"/>
                <w:sz w:val="24"/>
              </w:rPr>
            </w:pPr>
          </w:p>
          <w:p w:rsidR="00662432" w:rsidRDefault="00662432" w:rsidP="00662432">
            <w:pPr>
              <w:spacing w:line="360" w:lineRule="auto"/>
              <w:ind w:left="720"/>
              <w:jc w:val="both"/>
              <w:rPr>
                <w:rFonts w:ascii="Arial" w:hAnsi="Arial" w:cs="Arial"/>
                <w:sz w:val="24"/>
              </w:rPr>
            </w:pPr>
            <w:r w:rsidRPr="00AE7C44">
              <w:rPr>
                <w:rFonts w:ascii="Arial" w:hAnsi="Arial" w:cs="Arial"/>
                <w:sz w:val="24"/>
              </w:rPr>
              <w:t xml:space="preserve">Another notable deception is reflecting the </w:t>
            </w:r>
            <w:r>
              <w:rPr>
                <w:rFonts w:ascii="Arial" w:hAnsi="Arial" w:cs="Arial"/>
                <w:sz w:val="24"/>
              </w:rPr>
              <w:t xml:space="preserve">question in answering a question immediately after the question such as in the following example: </w:t>
            </w:r>
            <w:r w:rsidRPr="00AE7C44">
              <w:rPr>
                <w:rFonts w:ascii="Arial" w:hAnsi="Arial" w:cs="Arial"/>
                <w:b/>
                <w:sz w:val="24"/>
              </w:rPr>
              <w:t>Question</w:t>
            </w:r>
            <w:r>
              <w:rPr>
                <w:rFonts w:ascii="Arial" w:hAnsi="Arial" w:cs="Arial"/>
                <w:sz w:val="24"/>
              </w:rPr>
              <w:t xml:space="preserve">: Did you misstate the statement of comprehensive income? </w:t>
            </w:r>
            <w:r w:rsidRPr="00AE7C44">
              <w:rPr>
                <w:rFonts w:ascii="Arial" w:hAnsi="Arial" w:cs="Arial"/>
                <w:b/>
                <w:sz w:val="24"/>
              </w:rPr>
              <w:t>Answer</w:t>
            </w:r>
            <w:r>
              <w:rPr>
                <w:rFonts w:ascii="Arial" w:hAnsi="Arial" w:cs="Arial"/>
                <w:sz w:val="24"/>
              </w:rPr>
              <w:t xml:space="preserve">. No, I didn’t misstate the statement of comprehensive income. </w:t>
            </w:r>
          </w:p>
          <w:p w:rsidR="00662432" w:rsidRDefault="00662432" w:rsidP="00662432">
            <w:pPr>
              <w:spacing w:line="360" w:lineRule="auto"/>
              <w:ind w:left="720"/>
              <w:jc w:val="both"/>
              <w:rPr>
                <w:rFonts w:ascii="Arial" w:hAnsi="Arial" w:cs="Arial"/>
                <w:sz w:val="24"/>
              </w:rPr>
            </w:pPr>
          </w:p>
          <w:p w:rsidR="00662432" w:rsidRDefault="00662432" w:rsidP="00662432">
            <w:pPr>
              <w:pStyle w:val="ListParagraph"/>
              <w:numPr>
                <w:ilvl w:val="0"/>
                <w:numId w:val="6"/>
              </w:numPr>
              <w:spacing w:after="160" w:line="360" w:lineRule="auto"/>
              <w:jc w:val="both"/>
              <w:rPr>
                <w:rFonts w:ascii="Arial" w:hAnsi="Arial" w:cs="Arial"/>
                <w:sz w:val="24"/>
              </w:rPr>
            </w:pPr>
            <w:r>
              <w:rPr>
                <w:rFonts w:ascii="Arial" w:hAnsi="Arial" w:cs="Arial"/>
                <w:sz w:val="24"/>
              </w:rPr>
              <w:t>The statement that asking questions in an audit is different from asking questions in a fraud investigation is true as questions asked in a fraud investigation are properly structured than in an audit. Fraud investigations questions can effectively be classified into:</w:t>
            </w:r>
          </w:p>
          <w:p w:rsidR="00662432" w:rsidRDefault="00662432" w:rsidP="00662432">
            <w:pPr>
              <w:pStyle w:val="ListParagraph"/>
              <w:numPr>
                <w:ilvl w:val="0"/>
                <w:numId w:val="7"/>
              </w:numPr>
              <w:spacing w:after="160" w:line="360" w:lineRule="auto"/>
              <w:jc w:val="both"/>
              <w:rPr>
                <w:rFonts w:ascii="Arial" w:hAnsi="Arial" w:cs="Arial"/>
                <w:sz w:val="24"/>
              </w:rPr>
            </w:pPr>
            <w:r>
              <w:rPr>
                <w:rFonts w:ascii="Arial" w:hAnsi="Arial" w:cs="Arial"/>
                <w:sz w:val="24"/>
              </w:rPr>
              <w:t>Introductory questions</w:t>
            </w:r>
          </w:p>
          <w:p w:rsidR="00662432" w:rsidRDefault="00662432" w:rsidP="00662432">
            <w:pPr>
              <w:pStyle w:val="ListParagraph"/>
              <w:numPr>
                <w:ilvl w:val="0"/>
                <w:numId w:val="7"/>
              </w:numPr>
              <w:spacing w:after="160" w:line="360" w:lineRule="auto"/>
              <w:jc w:val="both"/>
              <w:rPr>
                <w:rFonts w:ascii="Arial" w:hAnsi="Arial" w:cs="Arial"/>
                <w:sz w:val="24"/>
              </w:rPr>
            </w:pPr>
            <w:r>
              <w:rPr>
                <w:rFonts w:ascii="Arial" w:hAnsi="Arial" w:cs="Arial"/>
                <w:sz w:val="24"/>
              </w:rPr>
              <w:t xml:space="preserve">Information seeking questions </w:t>
            </w:r>
          </w:p>
          <w:p w:rsidR="00662432" w:rsidRPr="00786BA7" w:rsidRDefault="00662432" w:rsidP="00662432">
            <w:pPr>
              <w:pStyle w:val="ListParagraph"/>
              <w:numPr>
                <w:ilvl w:val="0"/>
                <w:numId w:val="7"/>
              </w:numPr>
              <w:spacing w:after="160" w:line="360" w:lineRule="auto"/>
              <w:jc w:val="both"/>
              <w:rPr>
                <w:rFonts w:ascii="Arial" w:hAnsi="Arial" w:cs="Arial"/>
                <w:sz w:val="24"/>
              </w:rPr>
            </w:pPr>
            <w:r>
              <w:rPr>
                <w:rFonts w:ascii="Arial" w:hAnsi="Arial" w:cs="Arial"/>
                <w:sz w:val="24"/>
              </w:rPr>
              <w:t>Closing questions</w:t>
            </w:r>
          </w:p>
          <w:p w:rsidR="00662432" w:rsidRDefault="00662432" w:rsidP="00662432">
            <w:pPr>
              <w:pStyle w:val="ListParagraph"/>
              <w:numPr>
                <w:ilvl w:val="0"/>
                <w:numId w:val="7"/>
              </w:numPr>
              <w:spacing w:after="160" w:line="360" w:lineRule="auto"/>
              <w:jc w:val="both"/>
              <w:rPr>
                <w:rFonts w:ascii="Arial" w:hAnsi="Arial" w:cs="Arial"/>
                <w:sz w:val="24"/>
              </w:rPr>
            </w:pPr>
            <w:r>
              <w:rPr>
                <w:rFonts w:ascii="Arial" w:hAnsi="Arial" w:cs="Arial"/>
                <w:sz w:val="24"/>
              </w:rPr>
              <w:t>Assessment questions</w:t>
            </w:r>
          </w:p>
          <w:p w:rsidR="00662432" w:rsidRDefault="00662432" w:rsidP="00662432">
            <w:pPr>
              <w:pStyle w:val="ListParagraph"/>
              <w:numPr>
                <w:ilvl w:val="0"/>
                <w:numId w:val="7"/>
              </w:numPr>
              <w:spacing w:after="160" w:line="360" w:lineRule="auto"/>
              <w:jc w:val="both"/>
              <w:rPr>
                <w:rFonts w:ascii="Arial" w:hAnsi="Arial" w:cs="Arial"/>
                <w:sz w:val="24"/>
              </w:rPr>
            </w:pPr>
            <w:r>
              <w:rPr>
                <w:rFonts w:ascii="Arial" w:hAnsi="Arial" w:cs="Arial"/>
                <w:sz w:val="24"/>
              </w:rPr>
              <w:t>Admission seeking questions</w:t>
            </w:r>
          </w:p>
          <w:p w:rsidR="00662432" w:rsidRDefault="00662432" w:rsidP="00662432">
            <w:pPr>
              <w:spacing w:line="360" w:lineRule="auto"/>
              <w:ind w:left="720"/>
              <w:jc w:val="both"/>
              <w:rPr>
                <w:rFonts w:ascii="Arial" w:hAnsi="Arial" w:cs="Arial"/>
                <w:sz w:val="24"/>
              </w:rPr>
            </w:pPr>
            <w:r>
              <w:rPr>
                <w:rFonts w:ascii="Arial" w:hAnsi="Arial" w:cs="Arial"/>
                <w:sz w:val="24"/>
              </w:rPr>
              <w:t>The questions are well planned and structured in fraud investigations and are asked in that order by fraud investigators.</w:t>
            </w:r>
          </w:p>
          <w:p w:rsidR="007E428F" w:rsidRDefault="007E428F" w:rsidP="00662432">
            <w:pPr>
              <w:spacing w:line="360" w:lineRule="auto"/>
              <w:ind w:left="720"/>
              <w:jc w:val="both"/>
              <w:rPr>
                <w:rFonts w:ascii="Arial" w:hAnsi="Arial" w:cs="Arial"/>
                <w:sz w:val="24"/>
              </w:rPr>
            </w:pPr>
            <w:bookmarkStart w:id="0" w:name="_GoBack"/>
            <w:bookmarkEnd w:id="0"/>
          </w:p>
          <w:p w:rsidR="00662432" w:rsidRDefault="00662432" w:rsidP="00662432">
            <w:pPr>
              <w:spacing w:line="360" w:lineRule="auto"/>
              <w:ind w:left="720"/>
              <w:jc w:val="both"/>
              <w:rPr>
                <w:rFonts w:ascii="Arial" w:hAnsi="Arial" w:cs="Arial"/>
                <w:sz w:val="24"/>
              </w:rPr>
            </w:pPr>
            <w:r>
              <w:rPr>
                <w:rFonts w:ascii="Arial" w:hAnsi="Arial" w:cs="Arial"/>
                <w:sz w:val="24"/>
              </w:rPr>
              <w:t>The focus of the interviews is also different. Financial auditors ask questions incidentally as they come across areas that need clarity during the audit and their interviews usually ends internally while the interviews by fraud investigators are conducted with the assumption that they may end up in a court of law.</w:t>
            </w:r>
          </w:p>
          <w:p w:rsidR="00662432" w:rsidRDefault="00662432" w:rsidP="00662432">
            <w:pPr>
              <w:spacing w:line="360" w:lineRule="auto"/>
              <w:ind w:left="720"/>
              <w:jc w:val="both"/>
              <w:rPr>
                <w:rFonts w:ascii="Arial" w:hAnsi="Arial" w:cs="Arial"/>
                <w:sz w:val="24"/>
              </w:rPr>
            </w:pPr>
          </w:p>
          <w:p w:rsidR="00662432" w:rsidRDefault="00662432" w:rsidP="00662432">
            <w:pPr>
              <w:pStyle w:val="ListParagraph"/>
              <w:numPr>
                <w:ilvl w:val="0"/>
                <w:numId w:val="6"/>
              </w:numPr>
              <w:spacing w:after="160" w:line="360" w:lineRule="auto"/>
              <w:jc w:val="both"/>
              <w:rPr>
                <w:rFonts w:ascii="Arial" w:hAnsi="Arial" w:cs="Arial"/>
                <w:sz w:val="24"/>
              </w:rPr>
            </w:pPr>
            <w:r>
              <w:rPr>
                <w:rFonts w:ascii="Arial" w:hAnsi="Arial" w:cs="Arial"/>
                <w:sz w:val="24"/>
              </w:rPr>
              <w:lastRenderedPageBreak/>
              <w:t xml:space="preserve">A financial sophisticated criminal is criminal with a great deal of expertise in accounting, finance, actuary and real estate which an ordinary forensic investigator may hardily comprehend. </w:t>
            </w:r>
          </w:p>
          <w:p w:rsidR="00662432" w:rsidRDefault="00662432" w:rsidP="00662432">
            <w:pPr>
              <w:pStyle w:val="ListParagraph"/>
              <w:spacing w:line="360" w:lineRule="auto"/>
              <w:jc w:val="both"/>
              <w:rPr>
                <w:rFonts w:ascii="Arial" w:hAnsi="Arial" w:cs="Arial"/>
                <w:sz w:val="24"/>
              </w:rPr>
            </w:pPr>
          </w:p>
          <w:p w:rsidR="00662432" w:rsidRDefault="00662432" w:rsidP="00662432">
            <w:pPr>
              <w:pStyle w:val="ListParagraph"/>
              <w:spacing w:line="360" w:lineRule="auto"/>
              <w:jc w:val="both"/>
              <w:rPr>
                <w:rFonts w:ascii="Arial" w:hAnsi="Arial" w:cs="Arial"/>
                <w:sz w:val="24"/>
              </w:rPr>
            </w:pPr>
            <w:r>
              <w:rPr>
                <w:rFonts w:ascii="Arial" w:hAnsi="Arial" w:cs="Arial"/>
                <w:sz w:val="24"/>
              </w:rPr>
              <w:t>The interview process is as follows:</w:t>
            </w:r>
          </w:p>
          <w:p w:rsidR="00662432" w:rsidRDefault="00662432" w:rsidP="00662432">
            <w:pPr>
              <w:pStyle w:val="ListParagraph"/>
              <w:spacing w:line="360" w:lineRule="auto"/>
              <w:jc w:val="both"/>
              <w:rPr>
                <w:rFonts w:ascii="Arial" w:hAnsi="Arial" w:cs="Arial"/>
                <w:sz w:val="24"/>
              </w:rPr>
            </w:pPr>
          </w:p>
          <w:p w:rsidR="00662432" w:rsidRDefault="00662432" w:rsidP="00662432">
            <w:pPr>
              <w:pStyle w:val="ListParagraph"/>
              <w:spacing w:line="360" w:lineRule="auto"/>
              <w:jc w:val="both"/>
              <w:rPr>
                <w:rFonts w:ascii="Arial" w:hAnsi="Arial" w:cs="Arial"/>
                <w:sz w:val="24"/>
              </w:rPr>
            </w:pPr>
            <w:r>
              <w:rPr>
                <w:rFonts w:ascii="Arial" w:hAnsi="Arial" w:cs="Arial"/>
                <w:sz w:val="24"/>
              </w:rPr>
              <w:t>The interviewer should prepare himself for the interview. The preparation includes jotting down important point to be covered by the interview. Where the subjects or documents to be discussed are complicated the investigator can request the document to have more time with it and request the copy to be brought in during the interview.</w:t>
            </w:r>
          </w:p>
          <w:p w:rsidR="00662432" w:rsidRDefault="00662432" w:rsidP="00662432">
            <w:pPr>
              <w:pStyle w:val="ListParagraph"/>
              <w:spacing w:line="360" w:lineRule="auto"/>
              <w:jc w:val="both"/>
              <w:rPr>
                <w:rFonts w:ascii="Arial" w:hAnsi="Arial" w:cs="Arial"/>
                <w:sz w:val="24"/>
              </w:rPr>
            </w:pPr>
          </w:p>
          <w:p w:rsidR="00662432" w:rsidRDefault="00662432" w:rsidP="00662432">
            <w:pPr>
              <w:pStyle w:val="ListParagraph"/>
              <w:spacing w:line="360" w:lineRule="auto"/>
              <w:jc w:val="both"/>
              <w:rPr>
                <w:rFonts w:ascii="Arial" w:hAnsi="Arial" w:cs="Arial"/>
                <w:sz w:val="24"/>
              </w:rPr>
            </w:pPr>
            <w:r>
              <w:rPr>
                <w:rFonts w:ascii="Arial" w:hAnsi="Arial" w:cs="Arial"/>
                <w:sz w:val="24"/>
              </w:rPr>
              <w:t>The interviewer then should consider the information that might be obtained from the interview and any other persons who might need to be interviewed prior to the subject.</w:t>
            </w:r>
          </w:p>
          <w:p w:rsidR="00662432" w:rsidRDefault="00662432" w:rsidP="00662432">
            <w:pPr>
              <w:pStyle w:val="ListParagraph"/>
              <w:spacing w:line="360" w:lineRule="auto"/>
              <w:jc w:val="both"/>
              <w:rPr>
                <w:rFonts w:ascii="Arial" w:hAnsi="Arial" w:cs="Arial"/>
                <w:sz w:val="24"/>
              </w:rPr>
            </w:pPr>
            <w:r>
              <w:rPr>
                <w:rFonts w:ascii="Arial" w:hAnsi="Arial" w:cs="Arial"/>
                <w:sz w:val="24"/>
              </w:rPr>
              <w:t xml:space="preserve"> </w:t>
            </w:r>
          </w:p>
          <w:p w:rsidR="00662432" w:rsidRDefault="00662432" w:rsidP="00662432">
            <w:pPr>
              <w:pStyle w:val="ListParagraph"/>
              <w:spacing w:line="360" w:lineRule="auto"/>
              <w:jc w:val="both"/>
              <w:rPr>
                <w:rFonts w:ascii="Arial" w:hAnsi="Arial" w:cs="Arial"/>
                <w:sz w:val="24"/>
              </w:rPr>
            </w:pPr>
            <w:r>
              <w:rPr>
                <w:rFonts w:ascii="Arial" w:hAnsi="Arial" w:cs="Arial"/>
                <w:sz w:val="24"/>
              </w:rPr>
              <w:t>On the interview day the interviewer should set the tone of the interview by dressing properly and being friendly.</w:t>
            </w:r>
          </w:p>
          <w:p w:rsidR="00662432" w:rsidRDefault="00662432" w:rsidP="00662432">
            <w:pPr>
              <w:pStyle w:val="ListParagraph"/>
              <w:spacing w:line="360" w:lineRule="auto"/>
              <w:jc w:val="both"/>
              <w:rPr>
                <w:rFonts w:ascii="Arial" w:hAnsi="Arial" w:cs="Arial"/>
                <w:sz w:val="24"/>
              </w:rPr>
            </w:pPr>
          </w:p>
          <w:p w:rsidR="00662432" w:rsidRDefault="00662432" w:rsidP="00662432">
            <w:pPr>
              <w:pStyle w:val="ListParagraph"/>
              <w:spacing w:line="360" w:lineRule="auto"/>
              <w:jc w:val="both"/>
              <w:rPr>
                <w:rFonts w:ascii="Arial" w:hAnsi="Arial" w:cs="Arial"/>
                <w:sz w:val="24"/>
              </w:rPr>
            </w:pPr>
            <w:r>
              <w:rPr>
                <w:rFonts w:ascii="Arial" w:hAnsi="Arial" w:cs="Arial"/>
                <w:sz w:val="24"/>
              </w:rPr>
              <w:t>Educated and intelligent people are good at displaying non-verbal communications so the interviewer should pay special attention to the subject’ body movements and deception cues.</w:t>
            </w:r>
          </w:p>
          <w:p w:rsidR="00662432" w:rsidRDefault="00662432" w:rsidP="00662432">
            <w:pPr>
              <w:pStyle w:val="ListParagraph"/>
              <w:spacing w:line="360" w:lineRule="auto"/>
              <w:jc w:val="both"/>
              <w:rPr>
                <w:rFonts w:ascii="Arial" w:hAnsi="Arial" w:cs="Arial"/>
                <w:sz w:val="24"/>
              </w:rPr>
            </w:pPr>
          </w:p>
          <w:p w:rsidR="00662432" w:rsidRDefault="00662432" w:rsidP="00662432">
            <w:pPr>
              <w:pStyle w:val="ListParagraph"/>
              <w:spacing w:line="360" w:lineRule="auto"/>
              <w:jc w:val="both"/>
              <w:rPr>
                <w:rFonts w:ascii="Arial" w:hAnsi="Arial" w:cs="Arial"/>
                <w:sz w:val="24"/>
              </w:rPr>
            </w:pPr>
            <w:r>
              <w:rPr>
                <w:rFonts w:ascii="Arial" w:hAnsi="Arial" w:cs="Arial"/>
                <w:sz w:val="24"/>
              </w:rPr>
              <w:t xml:space="preserve">Then questions asked should flow and they should be as direct and to the point as possible. </w:t>
            </w:r>
          </w:p>
          <w:p w:rsidR="00662432" w:rsidRDefault="00662432" w:rsidP="00662432">
            <w:pPr>
              <w:pStyle w:val="ListParagraph"/>
              <w:spacing w:line="360" w:lineRule="auto"/>
              <w:jc w:val="both"/>
              <w:rPr>
                <w:rFonts w:ascii="Arial" w:hAnsi="Arial" w:cs="Arial"/>
                <w:sz w:val="24"/>
              </w:rPr>
            </w:pPr>
          </w:p>
          <w:p w:rsidR="00662432" w:rsidRDefault="00662432" w:rsidP="00662432">
            <w:pPr>
              <w:pStyle w:val="ListParagraph"/>
              <w:spacing w:line="360" w:lineRule="auto"/>
              <w:jc w:val="both"/>
              <w:rPr>
                <w:rFonts w:ascii="Arial" w:hAnsi="Arial" w:cs="Arial"/>
                <w:sz w:val="24"/>
              </w:rPr>
            </w:pPr>
            <w:r>
              <w:rPr>
                <w:rFonts w:ascii="Arial" w:hAnsi="Arial" w:cs="Arial"/>
                <w:sz w:val="24"/>
              </w:rPr>
              <w:t>During the interview gain there should be more listening than talking to ensure that the interview has time to communicate and should determine the pace.</w:t>
            </w:r>
          </w:p>
          <w:p w:rsidR="00662432" w:rsidRDefault="00662432" w:rsidP="00662432">
            <w:pPr>
              <w:pStyle w:val="ListParagraph"/>
              <w:spacing w:line="360" w:lineRule="auto"/>
              <w:jc w:val="both"/>
              <w:rPr>
                <w:rFonts w:ascii="Arial" w:hAnsi="Arial" w:cs="Arial"/>
                <w:sz w:val="24"/>
              </w:rPr>
            </w:pPr>
          </w:p>
          <w:p w:rsidR="00662432" w:rsidRDefault="00662432" w:rsidP="00662432">
            <w:pPr>
              <w:pStyle w:val="ListParagraph"/>
              <w:spacing w:line="360" w:lineRule="auto"/>
              <w:jc w:val="both"/>
              <w:rPr>
                <w:rFonts w:ascii="Arial" w:hAnsi="Arial" w:cs="Arial"/>
                <w:sz w:val="24"/>
              </w:rPr>
            </w:pPr>
            <w:r>
              <w:rPr>
                <w:rFonts w:ascii="Arial" w:hAnsi="Arial" w:cs="Arial"/>
                <w:sz w:val="24"/>
              </w:rPr>
              <w:t>The investigator should take his time and should not rush the interviewee.</w:t>
            </w:r>
          </w:p>
          <w:p w:rsidR="00662432" w:rsidRDefault="00662432" w:rsidP="00662432">
            <w:pPr>
              <w:pStyle w:val="ListParagraph"/>
              <w:spacing w:line="360" w:lineRule="auto"/>
              <w:jc w:val="both"/>
              <w:rPr>
                <w:rFonts w:ascii="Arial" w:hAnsi="Arial" w:cs="Arial"/>
                <w:sz w:val="24"/>
              </w:rPr>
            </w:pPr>
          </w:p>
          <w:p w:rsidR="00662432" w:rsidRDefault="00662432" w:rsidP="00662432">
            <w:pPr>
              <w:pStyle w:val="ListParagraph"/>
              <w:spacing w:line="360" w:lineRule="auto"/>
              <w:jc w:val="both"/>
              <w:rPr>
                <w:rFonts w:ascii="Arial" w:hAnsi="Arial" w:cs="Arial"/>
                <w:sz w:val="24"/>
              </w:rPr>
            </w:pPr>
            <w:r>
              <w:rPr>
                <w:rFonts w:ascii="Arial" w:hAnsi="Arial" w:cs="Arial"/>
                <w:sz w:val="24"/>
              </w:rPr>
              <w:t xml:space="preserve">At close of the interview the interviewer should ask assessment questions to verify the evidence and should also look for no verbal cues to verify what is being said verbally. Then when this is done the interview should be closed </w:t>
            </w:r>
            <w:r>
              <w:rPr>
                <w:rFonts w:ascii="Arial" w:hAnsi="Arial" w:cs="Arial"/>
                <w:sz w:val="24"/>
              </w:rPr>
              <w:lastRenderedPageBreak/>
              <w:t>on a good note and the interviewee should be told that should there be any further information he should feel free to come up and update his evidence. It is also vital to tell the interviewee that he may be interviewed again should there be a need to avoid embarrassment when a re-interview be required.</w:t>
            </w:r>
          </w:p>
          <w:p w:rsidR="00662432" w:rsidRDefault="00662432" w:rsidP="00662432">
            <w:pPr>
              <w:pStyle w:val="ListParagraph"/>
              <w:spacing w:line="360" w:lineRule="auto"/>
              <w:jc w:val="both"/>
              <w:rPr>
                <w:rFonts w:ascii="Arial" w:hAnsi="Arial" w:cs="Arial"/>
                <w:sz w:val="24"/>
              </w:rPr>
            </w:pPr>
          </w:p>
          <w:p w:rsidR="00662432" w:rsidRDefault="00662432" w:rsidP="00662432">
            <w:pPr>
              <w:pStyle w:val="ListParagraph"/>
              <w:spacing w:line="360" w:lineRule="auto"/>
              <w:jc w:val="both"/>
              <w:rPr>
                <w:rFonts w:ascii="Arial" w:hAnsi="Arial" w:cs="Arial"/>
                <w:sz w:val="24"/>
              </w:rPr>
            </w:pPr>
            <w:r>
              <w:rPr>
                <w:rFonts w:ascii="Arial" w:hAnsi="Arial" w:cs="Arial"/>
                <w:sz w:val="24"/>
              </w:rPr>
              <w:t>Lastly the interview proceedings should be written down for future reference.</w:t>
            </w:r>
          </w:p>
          <w:sdt>
            <w:sdtPr>
              <w:id w:val="-1799298782"/>
              <w:docPartObj>
                <w:docPartGallery w:val="Bibliographies"/>
                <w:docPartUnique/>
              </w:docPartObj>
            </w:sdtPr>
            <w:sdtEndPr>
              <w:rPr>
                <w:rFonts w:asciiTheme="minorHAnsi" w:eastAsiaTheme="minorHAnsi" w:hAnsiTheme="minorHAnsi" w:cstheme="minorBidi"/>
                <w:color w:val="auto"/>
                <w:sz w:val="22"/>
                <w:szCs w:val="22"/>
              </w:rPr>
            </w:sdtEndPr>
            <w:sdtContent>
              <w:p w:rsidR="00662432" w:rsidRPr="005656A0" w:rsidRDefault="00662432" w:rsidP="00662432">
                <w:pPr>
                  <w:pStyle w:val="Heading1"/>
                  <w:outlineLvl w:val="0"/>
                  <w:rPr>
                    <w:rFonts w:ascii="Arial" w:hAnsi="Arial" w:cs="Arial"/>
                    <w:b/>
                    <w:color w:val="auto"/>
                    <w:sz w:val="24"/>
                    <w:szCs w:val="24"/>
                  </w:rPr>
                </w:pPr>
                <w:r w:rsidRPr="005656A0">
                  <w:rPr>
                    <w:rFonts w:ascii="Arial" w:hAnsi="Arial" w:cs="Arial"/>
                    <w:b/>
                    <w:color w:val="auto"/>
                    <w:sz w:val="24"/>
                    <w:szCs w:val="24"/>
                  </w:rPr>
                  <w:t>References</w:t>
                </w:r>
              </w:p>
              <w:sdt>
                <w:sdtPr>
                  <w:rPr>
                    <w:rFonts w:ascii="Arial" w:hAnsi="Arial" w:cs="Arial"/>
                    <w:sz w:val="24"/>
                    <w:szCs w:val="24"/>
                  </w:rPr>
                  <w:id w:val="-573587230"/>
                  <w:bibliography/>
                </w:sdtPr>
                <w:sdtContent>
                  <w:p w:rsidR="00662432" w:rsidRPr="005656A0" w:rsidRDefault="00662432" w:rsidP="00662432">
                    <w:pPr>
                      <w:pStyle w:val="Bibliography"/>
                      <w:rPr>
                        <w:rFonts w:ascii="Arial" w:hAnsi="Arial" w:cs="Arial"/>
                        <w:noProof/>
                        <w:sz w:val="24"/>
                        <w:szCs w:val="24"/>
                      </w:rPr>
                    </w:pPr>
                    <w:r w:rsidRPr="005656A0">
                      <w:rPr>
                        <w:rFonts w:ascii="Arial" w:hAnsi="Arial" w:cs="Arial"/>
                        <w:sz w:val="24"/>
                        <w:szCs w:val="24"/>
                      </w:rPr>
                      <w:fldChar w:fldCharType="begin"/>
                    </w:r>
                    <w:r w:rsidRPr="005656A0">
                      <w:rPr>
                        <w:rFonts w:ascii="Arial" w:hAnsi="Arial" w:cs="Arial"/>
                        <w:sz w:val="24"/>
                        <w:szCs w:val="24"/>
                      </w:rPr>
                      <w:instrText xml:space="preserve"> BIBLIOGRAPHY </w:instrText>
                    </w:r>
                    <w:r w:rsidRPr="005656A0">
                      <w:rPr>
                        <w:rFonts w:ascii="Arial" w:hAnsi="Arial" w:cs="Arial"/>
                        <w:sz w:val="24"/>
                        <w:szCs w:val="24"/>
                      </w:rPr>
                      <w:fldChar w:fldCharType="separate"/>
                    </w:r>
                    <w:r w:rsidRPr="005656A0">
                      <w:rPr>
                        <w:rFonts w:ascii="Arial" w:hAnsi="Arial" w:cs="Arial"/>
                        <w:noProof/>
                        <w:sz w:val="24"/>
                        <w:szCs w:val="24"/>
                      </w:rPr>
                      <w:t xml:space="preserve">Sapir, A., 2016. </w:t>
                    </w:r>
                    <w:r w:rsidRPr="005656A0">
                      <w:rPr>
                        <w:rFonts w:ascii="Arial" w:hAnsi="Arial" w:cs="Arial"/>
                        <w:i/>
                        <w:iCs/>
                        <w:noProof/>
                        <w:sz w:val="24"/>
                        <w:szCs w:val="24"/>
                      </w:rPr>
                      <w:t xml:space="preserve">LSI Laboratory for Scientific Interrogation, Inc. </w:t>
                    </w:r>
                    <w:r w:rsidRPr="005656A0">
                      <w:rPr>
                        <w:rFonts w:ascii="Arial" w:hAnsi="Arial" w:cs="Arial"/>
                        <w:noProof/>
                        <w:sz w:val="24"/>
                        <w:szCs w:val="24"/>
                      </w:rPr>
                      <w:t xml:space="preserve">[Online] </w:t>
                    </w:r>
                    <w:r w:rsidRPr="005656A0">
                      <w:rPr>
                        <w:rFonts w:ascii="Arial" w:hAnsi="Arial" w:cs="Arial"/>
                        <w:noProof/>
                        <w:sz w:val="24"/>
                        <w:szCs w:val="24"/>
                      </w:rPr>
                      <w:br/>
                      <w:t xml:space="preserve">Available at: </w:t>
                    </w:r>
                    <w:r w:rsidRPr="005656A0">
                      <w:rPr>
                        <w:rFonts w:ascii="Arial" w:hAnsi="Arial" w:cs="Arial"/>
                        <w:noProof/>
                        <w:sz w:val="24"/>
                        <w:szCs w:val="24"/>
                        <w:u w:val="single"/>
                      </w:rPr>
                      <w:t>http://lsiscan.com/intro_to_scan.htm</w:t>
                    </w:r>
                    <w:r w:rsidRPr="005656A0">
                      <w:rPr>
                        <w:rFonts w:ascii="Arial" w:hAnsi="Arial" w:cs="Arial"/>
                        <w:noProof/>
                        <w:sz w:val="24"/>
                        <w:szCs w:val="24"/>
                      </w:rPr>
                      <w:br/>
                      <w:t>[Accessed 23 March 2016].</w:t>
                    </w:r>
                  </w:p>
                  <w:p w:rsidR="00662432" w:rsidRDefault="00662432" w:rsidP="00662432">
                    <w:r w:rsidRPr="005656A0">
                      <w:rPr>
                        <w:rFonts w:ascii="Arial" w:hAnsi="Arial" w:cs="Arial"/>
                        <w:b/>
                        <w:bCs/>
                        <w:noProof/>
                        <w:sz w:val="24"/>
                        <w:szCs w:val="24"/>
                      </w:rPr>
                      <w:fldChar w:fldCharType="end"/>
                    </w:r>
                  </w:p>
                </w:sdtContent>
              </w:sdt>
            </w:sdtContent>
          </w:sdt>
          <w:p w:rsidR="00662432" w:rsidRDefault="00662432" w:rsidP="00662432">
            <w:pPr>
              <w:spacing w:line="360" w:lineRule="auto"/>
              <w:ind w:left="720"/>
              <w:jc w:val="both"/>
              <w:rPr>
                <w:rFonts w:ascii="Arial" w:hAnsi="Arial" w:cs="Arial"/>
                <w:sz w:val="24"/>
              </w:rPr>
            </w:pPr>
          </w:p>
          <w:p w:rsidR="00BF2017" w:rsidRPr="00CC2FB3" w:rsidRDefault="00BF2017" w:rsidP="00A851DA">
            <w:pPr>
              <w:rPr>
                <w:rFonts w:ascii="Arial" w:hAnsi="Arial" w:cs="Arial"/>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BF2017" w:rsidRDefault="00BF2017" w:rsidP="00A851DA">
      <w:pPr>
        <w:autoSpaceDE w:val="0"/>
        <w:autoSpaceDN w:val="0"/>
        <w:adjustRightInd w:val="0"/>
        <w:spacing w:after="0" w:line="240" w:lineRule="auto"/>
        <w:rPr>
          <w:rFonts w:cs="CalvertMT-Bold"/>
          <w:b/>
          <w:bCs/>
          <w:color w:val="002060"/>
          <w:sz w:val="28"/>
          <w:lang w:val="en-US"/>
        </w:rPr>
      </w:pPr>
    </w:p>
    <w:p w:rsidR="00BF2017" w:rsidRDefault="00BF2017"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0"/>
        <w:gridCol w:w="3927"/>
        <w:gridCol w:w="1245"/>
        <w:gridCol w:w="159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BD101E" w:rsidRPr="000C2035" w:rsidRDefault="00D96108" w:rsidP="00A851DA">
            <w:pPr>
              <w:rPr>
                <w:rFonts w:ascii="Arial" w:hAnsi="Arial" w:cs="Arial"/>
                <w:color w:val="000000"/>
              </w:rPr>
            </w:pPr>
            <w:r w:rsidRPr="000C2035">
              <w:rPr>
                <w:rFonts w:ascii="Arial" w:hAnsi="Arial" w:cs="Arial"/>
                <w:color w:val="000000"/>
                <w:sz w:val="24"/>
              </w:rPr>
              <w:t>Aleck Mandivengerei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62432" w:rsidP="00A851DA">
            <w:pPr>
              <w:rPr>
                <w:rFonts w:cs="Bliss-Regular"/>
                <w:color w:val="000000"/>
              </w:rPr>
            </w:pPr>
            <w:r>
              <w:rPr>
                <w:rFonts w:cs="Bliss-Regular"/>
                <w:color w:val="000000"/>
              </w:rPr>
              <w:t>23/03/16</w:t>
            </w:r>
          </w:p>
        </w:tc>
      </w:tr>
    </w:tbl>
    <w:p w:rsidR="00A851DA" w:rsidRPr="00B0415E" w:rsidRDefault="00A851DA" w:rsidP="00A851DA">
      <w:pPr>
        <w:rPr>
          <w:rFonts w:cs="Bliss-Regular"/>
          <w:color w:val="000000"/>
          <w:lang w:val="en-US"/>
        </w:rPr>
      </w:pPr>
    </w:p>
    <w:p w:rsidR="00A851DA" w:rsidRPr="00B0415E" w:rsidRDefault="00503D7E" w:rsidP="00BD101E">
      <w:pPr>
        <w:shd w:val="clear" w:color="auto" w:fill="D9D9D9" w:themeFill="background1" w:themeFillShade="D9"/>
        <w:ind w:left="-90"/>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BF2017">
      <w:pPr>
        <w:rPr>
          <w:rFonts w:cs="Times New Roman"/>
          <w:sz w:val="24"/>
          <w:szCs w:val="32"/>
        </w:rPr>
      </w:pPr>
    </w:p>
    <w:sectPr w:rsidR="00A851DA" w:rsidSect="00BF2017">
      <w:pgSz w:w="11906" w:h="16838"/>
      <w:pgMar w:top="900" w:right="1440" w:bottom="117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36A4" w:rsidRDefault="008636A4" w:rsidP="00CB4D0A">
      <w:pPr>
        <w:spacing w:after="0" w:line="240" w:lineRule="auto"/>
      </w:pPr>
      <w:r>
        <w:separator/>
      </w:r>
    </w:p>
  </w:endnote>
  <w:endnote w:type="continuationSeparator" w:id="0">
    <w:p w:rsidR="008636A4" w:rsidRDefault="008636A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36A4" w:rsidRDefault="008636A4" w:rsidP="00CB4D0A">
      <w:pPr>
        <w:spacing w:after="0" w:line="240" w:lineRule="auto"/>
      </w:pPr>
      <w:r>
        <w:separator/>
      </w:r>
    </w:p>
  </w:footnote>
  <w:footnote w:type="continuationSeparator" w:id="0">
    <w:p w:rsidR="008636A4" w:rsidRDefault="008636A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45A78"/>
    <w:multiLevelType w:val="hybridMultilevel"/>
    <w:tmpl w:val="C84CBF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29D6995"/>
    <w:multiLevelType w:val="hybridMultilevel"/>
    <w:tmpl w:val="61C400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4B7DCD"/>
    <w:multiLevelType w:val="hybridMultilevel"/>
    <w:tmpl w:val="E62CD92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EBB4EDC"/>
    <w:multiLevelType w:val="hybridMultilevel"/>
    <w:tmpl w:val="48B2693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BB06B4A"/>
    <w:multiLevelType w:val="hybridMultilevel"/>
    <w:tmpl w:val="5FBE58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BB4592"/>
    <w:multiLevelType w:val="hybridMultilevel"/>
    <w:tmpl w:val="7BEA62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4"/>
  </w:num>
  <w:num w:numId="3">
    <w:abstractNumId w:val="6"/>
  </w:num>
  <w:num w:numId="4">
    <w:abstractNumId w:val="2"/>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C2035"/>
    <w:rsid w:val="000D0CF4"/>
    <w:rsid w:val="001175EE"/>
    <w:rsid w:val="00157CF6"/>
    <w:rsid w:val="00167A4A"/>
    <w:rsid w:val="00182416"/>
    <w:rsid w:val="00187EB4"/>
    <w:rsid w:val="001F0481"/>
    <w:rsid w:val="00200C92"/>
    <w:rsid w:val="0020451E"/>
    <w:rsid w:val="00206B9D"/>
    <w:rsid w:val="0023259C"/>
    <w:rsid w:val="00264580"/>
    <w:rsid w:val="002B0BD7"/>
    <w:rsid w:val="002B573D"/>
    <w:rsid w:val="002C5CB2"/>
    <w:rsid w:val="002F779F"/>
    <w:rsid w:val="003121C2"/>
    <w:rsid w:val="00371885"/>
    <w:rsid w:val="003E2B87"/>
    <w:rsid w:val="00402786"/>
    <w:rsid w:val="00405895"/>
    <w:rsid w:val="004058DF"/>
    <w:rsid w:val="00422712"/>
    <w:rsid w:val="00443E6F"/>
    <w:rsid w:val="00486F1A"/>
    <w:rsid w:val="00490CB9"/>
    <w:rsid w:val="004A2CE2"/>
    <w:rsid w:val="004B114C"/>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2432"/>
    <w:rsid w:val="006823A7"/>
    <w:rsid w:val="00687EE8"/>
    <w:rsid w:val="0070347F"/>
    <w:rsid w:val="0070678E"/>
    <w:rsid w:val="007E428F"/>
    <w:rsid w:val="00831C11"/>
    <w:rsid w:val="008636A4"/>
    <w:rsid w:val="008A60B4"/>
    <w:rsid w:val="008B3C31"/>
    <w:rsid w:val="008B64FE"/>
    <w:rsid w:val="008C4B3A"/>
    <w:rsid w:val="008D55A2"/>
    <w:rsid w:val="00933838"/>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D101E"/>
    <w:rsid w:val="00BF2017"/>
    <w:rsid w:val="00C03577"/>
    <w:rsid w:val="00C53029"/>
    <w:rsid w:val="00C65FEA"/>
    <w:rsid w:val="00CA0AC2"/>
    <w:rsid w:val="00CB4D0A"/>
    <w:rsid w:val="00CC2FB3"/>
    <w:rsid w:val="00CC575A"/>
    <w:rsid w:val="00CF123B"/>
    <w:rsid w:val="00D039AC"/>
    <w:rsid w:val="00D427DE"/>
    <w:rsid w:val="00D5587D"/>
    <w:rsid w:val="00D707CC"/>
    <w:rsid w:val="00D73183"/>
    <w:rsid w:val="00D821FE"/>
    <w:rsid w:val="00D96108"/>
    <w:rsid w:val="00DB0793"/>
    <w:rsid w:val="00E00821"/>
    <w:rsid w:val="00E04DB4"/>
    <w:rsid w:val="00E1331A"/>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0D75FB"/>
  <w15:docId w15:val="{44AF02C4-72DF-4BCD-B72A-3279294AF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BF201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2017"/>
    <w:rPr>
      <w:rFonts w:asciiTheme="majorHAnsi" w:eastAsiaTheme="majorEastAsia" w:hAnsiTheme="majorHAnsi" w:cstheme="majorBidi"/>
      <w:color w:val="365F91" w:themeColor="accent1" w:themeShade="BF"/>
      <w:sz w:val="32"/>
      <w:szCs w:val="32"/>
      <w:lang w:val="en-US"/>
    </w:rPr>
  </w:style>
  <w:style w:type="paragraph" w:styleId="Bibliography">
    <w:name w:val="Bibliography"/>
    <w:basedOn w:val="Normal"/>
    <w:next w:val="Normal"/>
    <w:uiPriority w:val="37"/>
    <w:unhideWhenUsed/>
    <w:rsid w:val="00BF2017"/>
    <w:pPr>
      <w:spacing w:after="160" w:line="259"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013B9E-BB0B-4C53-91EC-9618EF945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7</Pages>
  <Words>1758</Words>
  <Characters>10027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cp:lastModifiedBy>
  <cp:revision>12</cp:revision>
  <dcterms:created xsi:type="dcterms:W3CDTF">2016-03-03T04:47:00Z</dcterms:created>
  <dcterms:modified xsi:type="dcterms:W3CDTF">2016-03-23T14:44:00Z</dcterms:modified>
</cp:coreProperties>
</file>