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D101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8"/>
        <w:gridCol w:w="6488"/>
      </w:tblGrid>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D96108">
            <w:pPr>
              <w:pStyle w:val="Default"/>
              <w:rPr>
                <w:rFonts w:ascii="Arial" w:hAnsi="Arial" w:cs="Arial"/>
              </w:rPr>
            </w:pPr>
            <w:r w:rsidRPr="00D96108">
              <w:rPr>
                <w:rFonts w:ascii="Arial" w:hAnsi="Arial" w:cs="Arial"/>
              </w:rPr>
              <w:t>Aleck Mandivengerei</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96108" w:rsidRDefault="00D96108">
            <w:pPr>
              <w:pStyle w:val="Default"/>
              <w:rPr>
                <w:rFonts w:ascii="Arial" w:hAnsi="Arial" w:cs="Arial"/>
              </w:rPr>
            </w:pPr>
            <w:r>
              <w:rPr>
                <w:rFonts w:ascii="Arial" w:hAnsi="Arial" w:cs="Arial"/>
              </w:rPr>
              <w:t>1674</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D96108">
            <w:pPr>
              <w:pStyle w:val="Default"/>
              <w:rPr>
                <w:rFonts w:ascii="Arial" w:hAnsi="Arial" w:cs="Arial"/>
              </w:rPr>
            </w:pPr>
            <w:r>
              <w:rPr>
                <w:rFonts w:ascii="Arial" w:hAnsi="Arial" w:cs="Arial"/>
              </w:rPr>
              <w:t>Diploma in Forensic Accounting</w:t>
            </w:r>
            <w:r w:rsidR="00C7497F">
              <w:rPr>
                <w:rFonts w:ascii="Arial" w:hAnsi="Arial" w:cs="Arial"/>
              </w:rPr>
              <w:t xml:space="preserve"> (Level 4)</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EF3DB8">
            <w:pPr>
              <w:rPr>
                <w:rFonts w:ascii="Arial" w:hAnsi="Arial" w:cs="Arial"/>
                <w:sz w:val="24"/>
                <w:szCs w:val="24"/>
              </w:rPr>
            </w:pPr>
            <w:r>
              <w:rPr>
                <w:rFonts w:ascii="Arial" w:hAnsi="Arial" w:cs="Arial"/>
                <w:sz w:val="24"/>
                <w:szCs w:val="24"/>
              </w:rPr>
              <w:t>04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F2017" w:rsidRDefault="00BF2017" w:rsidP="00A851DA">
            <w:pPr>
              <w:rPr>
                <w:rFonts w:ascii="Arial" w:hAnsi="Arial" w:cs="Arial"/>
                <w:sz w:val="24"/>
                <w:szCs w:val="24"/>
              </w:rPr>
            </w:pPr>
          </w:p>
          <w:p w:rsidR="00EA2674" w:rsidRDefault="00EA2674" w:rsidP="00EA2674">
            <w:pPr>
              <w:pStyle w:val="ListParagraph"/>
              <w:numPr>
                <w:ilvl w:val="0"/>
                <w:numId w:val="6"/>
              </w:numPr>
              <w:spacing w:after="160" w:line="360" w:lineRule="auto"/>
              <w:jc w:val="both"/>
              <w:rPr>
                <w:rFonts w:ascii="Arial" w:hAnsi="Arial" w:cs="Arial"/>
                <w:sz w:val="24"/>
              </w:rPr>
            </w:pPr>
            <w:r>
              <w:rPr>
                <w:rFonts w:ascii="Arial" w:hAnsi="Arial" w:cs="Arial"/>
                <w:sz w:val="24"/>
              </w:rPr>
              <w:t>i) Fraud risk factors are circumstances related to an organisation, its managers or the environment in which a business operates that are usually associated with fraudulent acts or omissions to some extent. These factors indicate that the organisation is at high risk of fraud even though it might not have occurred.</w:t>
            </w:r>
          </w:p>
          <w:p w:rsidR="00EA2674" w:rsidRPr="006A0C3F" w:rsidRDefault="00EA2674" w:rsidP="00EA2674">
            <w:pPr>
              <w:spacing w:line="360" w:lineRule="auto"/>
              <w:ind w:left="720"/>
              <w:jc w:val="both"/>
              <w:rPr>
                <w:rFonts w:ascii="Arial" w:hAnsi="Arial" w:cs="Arial"/>
                <w:sz w:val="24"/>
              </w:rPr>
            </w:pPr>
            <w:r>
              <w:rPr>
                <w:rFonts w:ascii="Arial" w:hAnsi="Arial" w:cs="Arial"/>
                <w:sz w:val="24"/>
              </w:rPr>
              <w:t>A risk of financial reporting fraud occurs when management of a company has increased its involvement in setting accounting principles and financial estimates while also having the responsibility for meeting aggressive financial targets such as increasing sales revenue by a significate percentage when business is subdued may motivate managers to book fictitious sales.</w:t>
            </w:r>
          </w:p>
          <w:p w:rsidR="00EA2674" w:rsidRDefault="00EA2674" w:rsidP="00EA2674">
            <w:pPr>
              <w:pStyle w:val="ListParagraph"/>
              <w:spacing w:line="360" w:lineRule="auto"/>
              <w:jc w:val="both"/>
              <w:rPr>
                <w:rFonts w:ascii="Arial" w:hAnsi="Arial" w:cs="Arial"/>
                <w:sz w:val="24"/>
              </w:rPr>
            </w:pPr>
            <w:r>
              <w:rPr>
                <w:rFonts w:ascii="Arial" w:hAnsi="Arial" w:cs="Arial"/>
                <w:sz w:val="24"/>
              </w:rPr>
              <w:t>Fraud risk factors associated with asset misappropriation can be categorized into susceptibility of asset to misappropriation and inadequacy of controls. Assets susceptibility is high when a company deals in high valued small items such as high valued diamonds and computer chips.</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t>Generally, fraud risk is high where an entity’s control mechanisms cannot detect or prevent fraudulent schemes or misappropriation of assets. If employees and managers perceive that internal controls are inadequate more frauds are likely to occur.</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lastRenderedPageBreak/>
              <w:t>ii) Corruption embraces all wrongful acts intended to cause an unfair advantage. Forms of corruption include bribery, corruption, economic extortion and illegal gratuities. It’s easier to deter corruption that to detect it. The following corruption control mechanisms can be adopted to curb corruption:</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sidRPr="00D40886">
              <w:rPr>
                <w:rFonts w:ascii="Arial" w:hAnsi="Arial" w:cs="Arial"/>
                <w:b/>
                <w:sz w:val="24"/>
              </w:rPr>
              <w:t>Transparence and integrity in the bidding process involving asset procurement</w:t>
            </w:r>
            <w:r>
              <w:rPr>
                <w:rFonts w:ascii="Arial" w:hAnsi="Arial" w:cs="Arial"/>
                <w:sz w:val="24"/>
              </w:rPr>
              <w:t>. The bidding process from pre-solicitation phase through to the post-award and administration phase should be clear and not obscured while employees must be honest and truthful. This will help to reduce bidding corruption known as bid rigging schemes such as bid tailoring (preparing a bid with the favoured supplier in mind using either narrow specifications, broad specifications or vague specifications), bid manipulation and leaking bid data. If employees and contractor are honest corruption is reduced.</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b/>
                <w:sz w:val="24"/>
              </w:rPr>
              <w:t>Frequent rotation of employees though different vendor assignments</w:t>
            </w:r>
            <w:r w:rsidRPr="00C66D8B">
              <w:rPr>
                <w:rFonts w:ascii="Arial" w:hAnsi="Arial" w:cs="Arial"/>
                <w:sz w:val="24"/>
              </w:rPr>
              <w:t>.</w:t>
            </w:r>
          </w:p>
          <w:p w:rsidR="00EA2674" w:rsidRDefault="00EA2674" w:rsidP="00EA2674">
            <w:pPr>
              <w:pStyle w:val="ListParagraph"/>
              <w:spacing w:line="360" w:lineRule="auto"/>
              <w:jc w:val="both"/>
              <w:rPr>
                <w:rFonts w:ascii="Arial" w:hAnsi="Arial" w:cs="Arial"/>
                <w:sz w:val="24"/>
              </w:rPr>
            </w:pPr>
            <w:r>
              <w:rPr>
                <w:rFonts w:ascii="Arial" w:hAnsi="Arial" w:cs="Arial"/>
                <w:sz w:val="24"/>
              </w:rPr>
              <w:t>Rotation of employees is vital in reducing corruption. If employees over-familiarise themselves with a particular vendor corrupt. If trading partners know each other for a long time they can collude and obtain unfair advantage. If employees are aware that the company has a policy of frequent rotations, they will not engage in corrupt activities as the schemes will be discovered when they are assigned to other duties.</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b/>
                <w:sz w:val="24"/>
              </w:rPr>
              <w:t>Establishing a hot</w:t>
            </w:r>
            <w:r w:rsidRPr="00BC3EAE">
              <w:rPr>
                <w:rFonts w:ascii="Arial" w:hAnsi="Arial" w:cs="Arial"/>
                <w:b/>
                <w:sz w:val="24"/>
              </w:rPr>
              <w:t>line to enable vendors to complain should they be approached by someone seeking a bribe.</w:t>
            </w:r>
            <w:r>
              <w:rPr>
                <w:rFonts w:ascii="Arial" w:hAnsi="Arial" w:cs="Arial"/>
                <w:b/>
                <w:sz w:val="24"/>
              </w:rPr>
              <w:t xml:space="preserve"> </w:t>
            </w:r>
            <w:r w:rsidRPr="00BC3EAE">
              <w:rPr>
                <w:rFonts w:ascii="Arial" w:hAnsi="Arial" w:cs="Arial"/>
                <w:sz w:val="24"/>
              </w:rPr>
              <w:t>Most</w:t>
            </w:r>
            <w:r>
              <w:rPr>
                <w:rFonts w:ascii="Arial" w:hAnsi="Arial" w:cs="Arial"/>
                <w:sz w:val="24"/>
              </w:rPr>
              <w:t xml:space="preserve"> corrupt activities are detected through anonymous tips off. The company should communicate and promote the use of hotlines to its customers and suppliers. A supplier not only complain that someone is seeking a bribe but may complain that he is no longer being award business. This complaint can be used to initiate an investigation into the bidding process. Corruption is reduced when employees are aware that the company has a strong policy of using hotlines to report any irregularity.</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lastRenderedPageBreak/>
              <w:t>iii) The main benefit of using analytic procedure are as follows: -</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sidRPr="00CC0725">
              <w:rPr>
                <w:rFonts w:ascii="Arial" w:hAnsi="Arial" w:cs="Arial"/>
                <w:b/>
                <w:sz w:val="24"/>
              </w:rPr>
              <w:t>Assessing the company’s a</w:t>
            </w:r>
            <w:r>
              <w:rPr>
                <w:rFonts w:ascii="Arial" w:hAnsi="Arial" w:cs="Arial"/>
                <w:b/>
                <w:sz w:val="24"/>
              </w:rPr>
              <w:t>bi</w:t>
            </w:r>
            <w:r w:rsidRPr="00CC0725">
              <w:rPr>
                <w:rFonts w:ascii="Arial" w:hAnsi="Arial" w:cs="Arial"/>
                <w:b/>
                <w:sz w:val="24"/>
              </w:rPr>
              <w:t>lity to remain as a going concern</w:t>
            </w:r>
            <w:r>
              <w:rPr>
                <w:rFonts w:ascii="Arial" w:hAnsi="Arial" w:cs="Arial"/>
                <w:sz w:val="24"/>
              </w:rPr>
              <w:t>. Going concern is a basic underlying assumption in accounting attesting that a company will continue to operate for a foreseeable future usually 12 months</w:t>
            </w:r>
            <w:r w:rsidRPr="00CC0725">
              <w:rPr>
                <w:rFonts w:ascii="Arial" w:hAnsi="Arial" w:cs="Arial"/>
                <w:sz w:val="24"/>
              </w:rPr>
              <w:t>. Managers</w:t>
            </w:r>
            <w:r>
              <w:rPr>
                <w:rFonts w:ascii="Arial" w:hAnsi="Arial" w:cs="Arial"/>
                <w:b/>
                <w:sz w:val="24"/>
              </w:rPr>
              <w:t xml:space="preserve"> </w:t>
            </w:r>
            <w:r w:rsidRPr="00CC0725">
              <w:rPr>
                <w:rFonts w:ascii="Arial" w:hAnsi="Arial" w:cs="Arial"/>
                <w:sz w:val="24"/>
              </w:rPr>
              <w:t xml:space="preserve">may state that a business is a going concern even if </w:t>
            </w:r>
            <w:r>
              <w:rPr>
                <w:rFonts w:ascii="Arial" w:hAnsi="Arial" w:cs="Arial"/>
                <w:sz w:val="24"/>
              </w:rPr>
              <w:t xml:space="preserve">it is not true. Auditors can use analytic procedures to assess financial statements to establish whether the business is indeed a going concern. When going concern is threatened bankruptcy may be inevitable and assets should be restated to their breakup values. </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sidRPr="00455D4A">
              <w:rPr>
                <w:rFonts w:ascii="Arial" w:hAnsi="Arial" w:cs="Arial"/>
                <w:b/>
                <w:sz w:val="24"/>
              </w:rPr>
              <w:t>Indicating errors in financial statements</w:t>
            </w:r>
            <w:r>
              <w:rPr>
                <w:rFonts w:ascii="Arial" w:hAnsi="Arial" w:cs="Arial"/>
                <w:b/>
                <w:sz w:val="24"/>
              </w:rPr>
              <w:t xml:space="preserve">. </w:t>
            </w:r>
            <w:r>
              <w:rPr>
                <w:rFonts w:ascii="Arial" w:hAnsi="Arial" w:cs="Arial"/>
                <w:sz w:val="24"/>
              </w:rPr>
              <w:t xml:space="preserve">Analytic procedures </w:t>
            </w:r>
            <w:r w:rsidRPr="00455D4A">
              <w:rPr>
                <w:rFonts w:ascii="Arial" w:hAnsi="Arial" w:cs="Arial"/>
                <w:sz w:val="24"/>
              </w:rPr>
              <w:t>include vertical analysis, horizontal analysis of individual accounts shown in financial statements</w:t>
            </w:r>
            <w:r>
              <w:rPr>
                <w:rFonts w:ascii="Arial" w:hAnsi="Arial" w:cs="Arial"/>
                <w:sz w:val="24"/>
              </w:rPr>
              <w:t xml:space="preserve"> and </w:t>
            </w:r>
            <w:r w:rsidRPr="00455D4A">
              <w:rPr>
                <w:rFonts w:ascii="Arial" w:hAnsi="Arial" w:cs="Arial"/>
                <w:sz w:val="24"/>
              </w:rPr>
              <w:t xml:space="preserve">ratio </w:t>
            </w:r>
            <w:r>
              <w:rPr>
                <w:rFonts w:ascii="Arial" w:hAnsi="Arial" w:cs="Arial"/>
                <w:sz w:val="24"/>
              </w:rPr>
              <w:t xml:space="preserve">analysis. These are used to compare </w:t>
            </w:r>
            <w:r w:rsidRPr="00455D4A">
              <w:rPr>
                <w:rFonts w:ascii="Arial" w:hAnsi="Arial" w:cs="Arial"/>
                <w:sz w:val="24"/>
              </w:rPr>
              <w:t>a company’s financial statements against industrial averages, competitor and budget.</w:t>
            </w:r>
            <w:r>
              <w:rPr>
                <w:rFonts w:ascii="Arial" w:hAnsi="Arial" w:cs="Arial"/>
                <w:b/>
                <w:sz w:val="24"/>
              </w:rPr>
              <w:t xml:space="preserve">  </w:t>
            </w:r>
            <w:r w:rsidRPr="005758D5">
              <w:rPr>
                <w:rFonts w:ascii="Arial" w:hAnsi="Arial" w:cs="Arial"/>
                <w:sz w:val="24"/>
              </w:rPr>
              <w:t xml:space="preserve">These </w:t>
            </w:r>
            <w:r>
              <w:rPr>
                <w:rFonts w:ascii="Arial" w:hAnsi="Arial" w:cs="Arial"/>
                <w:sz w:val="24"/>
              </w:rPr>
              <w:t>tools typically reveal errors and irregularities in financial statements.</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sidRPr="007A616F">
              <w:rPr>
                <w:rFonts w:ascii="Arial" w:hAnsi="Arial" w:cs="Arial"/>
                <w:b/>
                <w:sz w:val="24"/>
              </w:rPr>
              <w:t>Implications for detailed audit testing and procedures</w:t>
            </w:r>
            <w:r>
              <w:rPr>
                <w:rFonts w:ascii="Arial" w:hAnsi="Arial" w:cs="Arial"/>
                <w:b/>
                <w:sz w:val="24"/>
              </w:rPr>
              <w:t xml:space="preserve">.  </w:t>
            </w:r>
            <w:r w:rsidRPr="007A616F">
              <w:rPr>
                <w:rFonts w:ascii="Arial" w:hAnsi="Arial" w:cs="Arial"/>
                <w:sz w:val="24"/>
              </w:rPr>
              <w:t>Analytical procedures det</w:t>
            </w:r>
            <w:r>
              <w:rPr>
                <w:rFonts w:ascii="Arial" w:hAnsi="Arial" w:cs="Arial"/>
                <w:sz w:val="24"/>
              </w:rPr>
              <w:t>er</w:t>
            </w:r>
            <w:r w:rsidRPr="007A616F">
              <w:rPr>
                <w:rFonts w:ascii="Arial" w:hAnsi="Arial" w:cs="Arial"/>
                <w:sz w:val="24"/>
              </w:rPr>
              <w:t>mine whether detailed audit testing is required or not</w:t>
            </w:r>
            <w:r>
              <w:rPr>
                <w:rFonts w:ascii="Arial" w:hAnsi="Arial" w:cs="Arial"/>
                <w:sz w:val="24"/>
              </w:rPr>
              <w:t>. If an analytical review of a company’s financial statements is consistent with prior year results and expected results, it might mean that there are no irregularities and errors signifying that a detailed audit testing is not necessary.</w:t>
            </w:r>
          </w:p>
          <w:p w:rsidR="00EA2674" w:rsidRPr="005758D5" w:rsidRDefault="00EA2674" w:rsidP="00EA2674">
            <w:pPr>
              <w:pStyle w:val="ListParagraph"/>
              <w:spacing w:line="360" w:lineRule="auto"/>
              <w:jc w:val="both"/>
              <w:rPr>
                <w:rFonts w:ascii="Arial" w:hAnsi="Arial" w:cs="Arial"/>
                <w:sz w:val="24"/>
              </w:rPr>
            </w:pPr>
          </w:p>
          <w:p w:rsidR="00EA2674" w:rsidRPr="005758D5" w:rsidRDefault="00EA2674" w:rsidP="00EA2674">
            <w:pPr>
              <w:pStyle w:val="ListParagraph"/>
              <w:spacing w:line="360" w:lineRule="auto"/>
              <w:jc w:val="both"/>
              <w:rPr>
                <w:rFonts w:ascii="Arial" w:hAnsi="Arial" w:cs="Arial"/>
                <w:sz w:val="24"/>
              </w:rPr>
            </w:pPr>
            <w:r w:rsidRPr="005758D5">
              <w:rPr>
                <w:rFonts w:ascii="Arial" w:hAnsi="Arial" w:cs="Arial"/>
                <w:sz w:val="24"/>
              </w:rPr>
              <w:t>iv)  Rationalisations are justifications for committing a crime, usually before its commission. Common rationalisations that tempt the fraudster to commit fraud include the following: -</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t>Fraudsters may view their acts as essentially non-criminal. They argue in their minds that their actions didn’t hurt anyone and therefore are not criminal. A famous example is that of an executive of Westinghouse Electric Co. who was accused of price fixing in 1961, when asked whether he knew that his behaviour was illegal, he replied, “Illegal? Yes, but not criminal. Criminal means hurting others and we didn’t do that.”,</w:t>
            </w:r>
            <w:sdt>
              <w:sdtPr>
                <w:rPr>
                  <w:rFonts w:ascii="Arial" w:hAnsi="Arial" w:cs="Arial"/>
                  <w:sz w:val="24"/>
                </w:rPr>
                <w:id w:val="956533521"/>
                <w:citation/>
              </w:sdtPr>
              <w:sdtContent>
                <w:r>
                  <w:rPr>
                    <w:rFonts w:ascii="Arial" w:hAnsi="Arial" w:cs="Arial"/>
                    <w:sz w:val="24"/>
                  </w:rPr>
                  <w:fldChar w:fldCharType="begin"/>
                </w:r>
                <w:r>
                  <w:rPr>
                    <w:rFonts w:ascii="Arial" w:hAnsi="Arial" w:cs="Arial"/>
                    <w:sz w:val="24"/>
                  </w:rPr>
                  <w:instrText xml:space="preserve"> CITATION Gei62 \l 1033 </w:instrText>
                </w:r>
                <w:r>
                  <w:rPr>
                    <w:rFonts w:ascii="Arial" w:hAnsi="Arial" w:cs="Arial"/>
                    <w:sz w:val="24"/>
                  </w:rPr>
                  <w:fldChar w:fldCharType="separate"/>
                </w:r>
                <w:r>
                  <w:rPr>
                    <w:rFonts w:ascii="Arial" w:hAnsi="Arial" w:cs="Arial"/>
                    <w:noProof/>
                    <w:sz w:val="24"/>
                  </w:rPr>
                  <w:t xml:space="preserve"> </w:t>
                </w:r>
                <w:r w:rsidRPr="007D5F5C">
                  <w:rPr>
                    <w:rFonts w:ascii="Arial" w:hAnsi="Arial" w:cs="Arial"/>
                    <w:noProof/>
                    <w:sz w:val="24"/>
                  </w:rPr>
                  <w:t>(Geis, 1962)</w:t>
                </w:r>
                <w:r>
                  <w:rPr>
                    <w:rFonts w:ascii="Arial" w:hAnsi="Arial" w:cs="Arial"/>
                    <w:sz w:val="24"/>
                  </w:rPr>
                  <w:fldChar w:fldCharType="end"/>
                </w:r>
              </w:sdtContent>
            </w:sdt>
            <w:r>
              <w:rPr>
                <w:rFonts w:ascii="Arial" w:hAnsi="Arial" w:cs="Arial"/>
                <w:sz w:val="24"/>
              </w:rPr>
              <w:t>.</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lastRenderedPageBreak/>
              <w:t>Criminals may view their fraudulent acts as justified. Criminals argue that the company is underpaying them considering more skills for the job that they have or the time they commit to work duties. Organisations should carefully fit employees to their post as highly qualified personnel may defraud the company if they are underpaid or assigned to low level roles such as employing a CPA as a bookkeeper reporting to an assistant accountant.</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t>Financial statement preparers may misstate financial statements arguing that if it improves the overall position of the company without causing material harm then its justified. If the true position is revealed then promised loans may not be granted, employees may be retrenched and investors may lose trust in the company and company shares may fall rapidly. To circumvent the ashore-mentioned catastrophes corrupt accountants may justify misstating financial statements.</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t>v) Statement of Auditing Standards (SAS 99 par. 40) outlines points to be considered when evaluating fraud risk factors as follows: type of risk, pervasiveness of the risk, significance and likelihood of the risk.</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t xml:space="preserve">There is need to consider the type of fraud risk factors facing an organisation. Types of risk present can be classified as fraudulent financial statements, corruption and asset misappropriation. </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t>Pervasiveness of the risk is a consideration that looks at whether the risk factors affects a single account or that the whole set of financial statements might be affected.</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t>Significance looks at the whether the risk factor results in a material misstatement. Likelihood looks at the chances that the risk occurs and the chances can be remote, or probable.</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color w:val="FF0000"/>
                <w:sz w:val="24"/>
              </w:rPr>
            </w:pPr>
            <w:r>
              <w:rPr>
                <w:rFonts w:ascii="Arial" w:hAnsi="Arial" w:cs="Arial"/>
                <w:sz w:val="24"/>
              </w:rPr>
              <w:t xml:space="preserve">vi) Analytic procedure involved the comparison of data in financial statements  </w:t>
            </w:r>
            <w:r>
              <w:rPr>
                <w:rFonts w:ascii="Arial" w:hAnsi="Arial" w:cs="Arial"/>
                <w:color w:val="FF0000"/>
                <w:sz w:val="24"/>
              </w:rPr>
              <w:t xml:space="preserve">     </w:t>
            </w:r>
          </w:p>
          <w:p w:rsidR="00EA2674" w:rsidRDefault="00EA2674" w:rsidP="00EA2674">
            <w:pPr>
              <w:pStyle w:val="ListParagraph"/>
              <w:spacing w:line="360" w:lineRule="auto"/>
              <w:jc w:val="both"/>
              <w:rPr>
                <w:rFonts w:ascii="Arial" w:hAnsi="Arial" w:cs="Arial"/>
                <w:sz w:val="24"/>
              </w:rPr>
            </w:pPr>
            <w:r>
              <w:rPr>
                <w:rFonts w:ascii="Arial" w:hAnsi="Arial" w:cs="Arial"/>
                <w:sz w:val="24"/>
              </w:rPr>
              <w:t>(such as statement of profit and loss, statement of financial position and the statement of cash flows) with prior period data, budgets, competitor and the industrial averages. The three primary purposes are as follows: -</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sidRPr="00F4757C">
              <w:rPr>
                <w:rFonts w:ascii="Arial" w:hAnsi="Arial" w:cs="Arial"/>
                <w:b/>
                <w:sz w:val="24"/>
              </w:rPr>
              <w:t>Preliminary analytic procedures</w:t>
            </w:r>
            <w:r>
              <w:rPr>
                <w:rFonts w:ascii="Arial" w:hAnsi="Arial" w:cs="Arial"/>
                <w:b/>
                <w:sz w:val="24"/>
              </w:rPr>
              <w:t xml:space="preserve">. </w:t>
            </w:r>
            <w:r>
              <w:rPr>
                <w:rFonts w:ascii="Arial" w:hAnsi="Arial" w:cs="Arial"/>
                <w:sz w:val="24"/>
              </w:rPr>
              <w:t>Before an audit process begins auditors prepare common size financial statements (vertical analysis) and horizontal analysis (trend analysis). In vertical analysis total revenue (sales) is the base with 100% in statement of profit and loss while total assets value is the base figure for the statement of financial position and is 100%. An increase in sales without a corresponding increase in cost of goods sold may indicate fictitious sales. High risk areas which stand out in these analysis are devoted more time and resources during the audit thereby increasing the chances of detecting fraud.</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sidRPr="004A5439">
              <w:rPr>
                <w:rFonts w:ascii="Arial" w:hAnsi="Arial" w:cs="Arial"/>
                <w:b/>
                <w:sz w:val="24"/>
              </w:rPr>
              <w:t>Substantive analytics procedure</w:t>
            </w:r>
            <w:r>
              <w:rPr>
                <w:rFonts w:ascii="Arial" w:hAnsi="Arial" w:cs="Arial"/>
                <w:b/>
                <w:sz w:val="24"/>
              </w:rPr>
              <w:t>.</w:t>
            </w:r>
            <w:r w:rsidRPr="00695776">
              <w:rPr>
                <w:rFonts w:ascii="Arial" w:hAnsi="Arial" w:cs="Arial"/>
                <w:sz w:val="24"/>
              </w:rPr>
              <w:t xml:space="preserve"> These</w:t>
            </w:r>
            <w:r>
              <w:rPr>
                <w:rFonts w:ascii="Arial" w:hAnsi="Arial" w:cs="Arial"/>
                <w:b/>
                <w:sz w:val="24"/>
              </w:rPr>
              <w:t xml:space="preserve"> </w:t>
            </w:r>
            <w:r w:rsidRPr="00695776">
              <w:rPr>
                <w:rFonts w:ascii="Arial" w:hAnsi="Arial" w:cs="Arial"/>
                <w:sz w:val="24"/>
              </w:rPr>
              <w:t xml:space="preserve">are used </w:t>
            </w:r>
            <w:r>
              <w:rPr>
                <w:rFonts w:ascii="Arial" w:hAnsi="Arial" w:cs="Arial"/>
                <w:sz w:val="24"/>
              </w:rPr>
              <w:t>to obtain evidential matter about an assertion related to an account or a particular class of transactions. The evidential matter obtained from analysis of journal entries for accounts such as accounts receivable and obtaining information from independent sources external to the entity is useful in corroborating assertions by management at the financial statement level.</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sidRPr="001E72C4">
              <w:rPr>
                <w:rFonts w:ascii="Arial" w:hAnsi="Arial" w:cs="Arial"/>
                <w:b/>
                <w:sz w:val="24"/>
              </w:rPr>
              <w:t>Final analytic procedures</w:t>
            </w:r>
            <w:r>
              <w:rPr>
                <w:rFonts w:ascii="Arial" w:hAnsi="Arial" w:cs="Arial"/>
                <w:b/>
                <w:sz w:val="24"/>
              </w:rPr>
              <w:t xml:space="preserve">. </w:t>
            </w:r>
            <w:r w:rsidRPr="001E72C4">
              <w:rPr>
                <w:rFonts w:ascii="Arial" w:hAnsi="Arial" w:cs="Arial"/>
                <w:sz w:val="24"/>
              </w:rPr>
              <w:t xml:space="preserve">At the end of the </w:t>
            </w:r>
            <w:r>
              <w:rPr>
                <w:rFonts w:ascii="Arial" w:hAnsi="Arial" w:cs="Arial"/>
                <w:sz w:val="24"/>
              </w:rPr>
              <w:t xml:space="preserve">audit process auditors carry out a final review of the financial statements to assess whether audit conclusions and consistent with the auditor’s understanding of the entity. Although final analytic procedures are not intended to obtain additional substantive assurance they are useful in that if irregularities are found they trigger performance of risk assessment to consider additional audit procedures that may be necessary. </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numPr>
                <w:ilvl w:val="0"/>
                <w:numId w:val="6"/>
              </w:numPr>
              <w:spacing w:after="160" w:line="360" w:lineRule="auto"/>
              <w:jc w:val="both"/>
              <w:rPr>
                <w:rFonts w:ascii="Arial" w:hAnsi="Arial" w:cs="Arial"/>
                <w:sz w:val="24"/>
              </w:rPr>
            </w:pPr>
            <w:r>
              <w:rPr>
                <w:rFonts w:ascii="Arial" w:hAnsi="Arial" w:cs="Arial"/>
                <w:sz w:val="24"/>
              </w:rPr>
              <w:t>The statement that circumstances may exist that create opportunities for management or other staff to commit fraud is true. Opportunity is a leg of the fraud triangle that if combined with situational pressure can result in staff committing frauds. Examples of opportunity includes: -</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t>The level of supervision of senior management by independent bodies such as supervisory bodies, external audits and non-executive directors. Where management is not supervised by independent party’s management or other staff has an opportunity to commit fraud.</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t>An entity with weak internal controls such as poor employee screening and use of inappropriate technologies offers all employees an opportunity to commit frauds and misappropriates assets. An example is where employees are checked at exit points from the company, senior management will oftenly be exempted from such searches offering an opportunity to defraud an entity.</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t>Opportunity may be high when duties are not segregated and management blindly trusts employees to act in the best interest of the company without putting measures in place to ensure that no one individual is able to commit fraud in the ordinary course of his duties by initiating a transaction and overseeing it up to completion.</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t>Organisations dealing with small high values assets such as diamonds and computer chips increases the chances of asset misappropriation. Due to their size they can easily be stolen and taken away from the company unlike larges assets such as tables, refrigerators and electrical stoves. Control musts be high for organisations dealing in small high value items.</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t>Accounting sometimes allows management to make judgements pertaining to some elements of financial statements. Where financial statements are largely based on management’s assumptions and judgements other than reality management has an opportunity prepare fraudulent financial statements.</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numPr>
                <w:ilvl w:val="0"/>
                <w:numId w:val="6"/>
              </w:numPr>
              <w:spacing w:after="160" w:line="360" w:lineRule="auto"/>
              <w:jc w:val="both"/>
              <w:rPr>
                <w:rFonts w:ascii="Arial" w:hAnsi="Arial" w:cs="Arial"/>
                <w:sz w:val="24"/>
              </w:rPr>
            </w:pPr>
            <w:r>
              <w:rPr>
                <w:rFonts w:ascii="Arial" w:hAnsi="Arial" w:cs="Arial"/>
                <w:sz w:val="24"/>
              </w:rPr>
              <w:t xml:space="preserve"> The question that auditors should ask management and others to identify fraud risk factors is de</w:t>
            </w:r>
            <w:r>
              <w:rPr>
                <w:rFonts w:ascii="Arial" w:hAnsi="Arial" w:cs="Arial"/>
                <w:sz w:val="24"/>
              </w:rPr>
              <w:t>tailed in SAS 99 paragraph 20</w:t>
            </w:r>
            <w:r>
              <w:rPr>
                <w:rFonts w:ascii="Arial" w:hAnsi="Arial" w:cs="Arial"/>
                <w:sz w:val="24"/>
              </w:rPr>
              <w:t xml:space="preserve"> and includes the following: -</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t>Whether management has any knowledge or fraud or suspected fraud affecting the entity. If management is aware or the fraud the auditor may want to know how management has reacted to such knowledge. If management is reluctant to react then fraud risk is high.</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lastRenderedPageBreak/>
              <w:t>Whether management is aware of any allegations fraud or suspected fraud affecting the entity from various stakeholders such as employees, suppliers, customers and analysists. Various stakeholder may complain if fraud is taking place, management should promote a system where allegations of fraud should be reported and responded to swiftly.</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t>Auditors should also inquire on management’s understanding about the risk of fraud in the entity including risks that the entity has identified. Management should have an understanding of the risks affecting the entity and how to effectively respond to the identified risks.</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t>An inquiry should also be made on programs and controls the entity has established to mitigate specific fraud risks the entity has identified or that otherwise help to prevent, detect and deter fraud. Where risks have been identified and management takes time to implement programs and controls the entity will be at high risk of fraud.</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t xml:space="preserve">For an organisation with multiple location auditors should inquire on the extend of monitoring various locations and whether there are locations where the risk of fraud is high. Where there are multiple locations some area will have high risk than others and management should put in place control measure that are commensurate with identified risks unlike implementing uniforms measures for all locations. </w:t>
            </w:r>
          </w:p>
          <w:p w:rsidR="00EA2674" w:rsidRDefault="00EA2674" w:rsidP="00EA2674">
            <w:pPr>
              <w:pStyle w:val="ListParagraph"/>
              <w:spacing w:line="360" w:lineRule="auto"/>
              <w:jc w:val="both"/>
              <w:rPr>
                <w:rFonts w:ascii="Arial" w:hAnsi="Arial" w:cs="Arial"/>
                <w:sz w:val="24"/>
              </w:rPr>
            </w:pPr>
            <w:r>
              <w:rPr>
                <w:rFonts w:ascii="Arial" w:hAnsi="Arial" w:cs="Arial"/>
                <w:sz w:val="24"/>
              </w:rPr>
              <w:t xml:space="preserve">  </w:t>
            </w:r>
          </w:p>
          <w:p w:rsidR="00EA2674" w:rsidRDefault="00EA2674" w:rsidP="00EA2674">
            <w:pPr>
              <w:pStyle w:val="ListParagraph"/>
              <w:spacing w:line="360" w:lineRule="auto"/>
              <w:jc w:val="both"/>
              <w:rPr>
                <w:rFonts w:ascii="Arial" w:hAnsi="Arial" w:cs="Arial"/>
                <w:sz w:val="24"/>
              </w:rPr>
            </w:pPr>
            <w:r>
              <w:rPr>
                <w:rFonts w:ascii="Arial" w:hAnsi="Arial" w:cs="Arial"/>
                <w:sz w:val="24"/>
              </w:rPr>
              <w:t>Another important inquiry is to find out whether management communicates to employees its views on business practices and ethical behavior. Best business practices and expected ethical behaviour should be communicated at lectures and meetings. Each employee should have a copy of the business practice and ethical policy which should be signed by each employee. Management should show commitment to best practices and excellent ethical conducts.</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p>
          <w:p w:rsidR="00EA2674" w:rsidRDefault="00EA2674" w:rsidP="00EA2674">
            <w:pPr>
              <w:spacing w:line="360" w:lineRule="auto"/>
              <w:jc w:val="both"/>
              <w:rPr>
                <w:rFonts w:ascii="Arial" w:hAnsi="Arial" w:cs="Arial"/>
                <w:b/>
                <w:sz w:val="24"/>
              </w:rPr>
            </w:pPr>
            <w:r w:rsidRPr="003E7E62">
              <w:rPr>
                <w:rFonts w:ascii="Arial" w:hAnsi="Arial" w:cs="Arial"/>
                <w:b/>
                <w:sz w:val="24"/>
              </w:rPr>
              <w:lastRenderedPageBreak/>
              <w:t xml:space="preserve">Case study </w:t>
            </w:r>
          </w:p>
          <w:p w:rsidR="00EA2674" w:rsidRPr="00543628" w:rsidRDefault="00EA2674" w:rsidP="00EA2674">
            <w:pPr>
              <w:pStyle w:val="ListParagraph"/>
              <w:numPr>
                <w:ilvl w:val="0"/>
                <w:numId w:val="7"/>
              </w:numPr>
              <w:spacing w:after="160" w:line="360" w:lineRule="auto"/>
              <w:ind w:left="720" w:hanging="360"/>
              <w:jc w:val="both"/>
              <w:rPr>
                <w:rFonts w:ascii="Arial" w:hAnsi="Arial" w:cs="Arial"/>
                <w:sz w:val="24"/>
              </w:rPr>
            </w:pPr>
            <w:r w:rsidRPr="00543628">
              <w:rPr>
                <w:rFonts w:ascii="Arial" w:hAnsi="Arial" w:cs="Arial"/>
                <w:sz w:val="24"/>
              </w:rPr>
              <w:t>The man in this case study suspected to have acquired property from the sale of drugs (undisclosed sources of income) given the nature of his employment income since he is just a general clear. An important part is to look at the incomes from the whole family members. The might earn low income but her wife might be earning a high income to make it possible to acquire the said assets.</w:t>
            </w:r>
          </w:p>
          <w:p w:rsidR="00EA2674" w:rsidRDefault="00EA2674" w:rsidP="00EA2674">
            <w:pPr>
              <w:spacing w:line="360" w:lineRule="auto"/>
              <w:ind w:left="720"/>
              <w:jc w:val="both"/>
              <w:rPr>
                <w:rFonts w:ascii="Arial" w:hAnsi="Arial" w:cs="Arial"/>
                <w:sz w:val="24"/>
              </w:rPr>
            </w:pPr>
            <w:r>
              <w:rPr>
                <w:rFonts w:ascii="Arial" w:hAnsi="Arial" w:cs="Arial"/>
                <w:sz w:val="24"/>
              </w:rPr>
              <w:t>In carrying out this analysis the fraud expert uses a net worth analysis known as the asset method also known as the comparative note worth method since we are told that the subject is presumed to have acquired properties. The asset method can be applied for a number of years but it’s ideal to start from the just before the time when the subjects is suspected to have illicitly acquired the assets. In the case study we are told that the expert started from the time the subject acquired his first asset. The following is a formula for the assets method that forensic examiners should use.</w:t>
            </w:r>
          </w:p>
          <w:tbl>
            <w:tblPr>
              <w:tblStyle w:val="TableGrid"/>
              <w:tblpPr w:leftFromText="180" w:rightFromText="180" w:vertAnchor="text" w:horzAnchor="page" w:tblpX="2161" w:tblpY="17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805"/>
              <w:gridCol w:w="4590"/>
            </w:tblGrid>
            <w:tr w:rsidR="00EA2674" w:rsidTr="00667230">
              <w:tc>
                <w:tcPr>
                  <w:tcW w:w="805" w:type="dxa"/>
                  <w:shd w:val="clear" w:color="auto" w:fill="D9D9D9" w:themeFill="background1" w:themeFillShade="D9"/>
                </w:tcPr>
                <w:p w:rsidR="00EA2674" w:rsidRDefault="00EA2674" w:rsidP="00EA2674">
                  <w:pPr>
                    <w:spacing w:line="360" w:lineRule="auto"/>
                    <w:jc w:val="both"/>
                    <w:rPr>
                      <w:rFonts w:ascii="Arial" w:hAnsi="Arial" w:cs="Arial"/>
                      <w:sz w:val="24"/>
                    </w:rPr>
                  </w:pPr>
                </w:p>
              </w:tc>
              <w:tc>
                <w:tcPr>
                  <w:tcW w:w="4590" w:type="dxa"/>
                  <w:shd w:val="clear" w:color="auto" w:fill="D9D9D9" w:themeFill="background1" w:themeFillShade="D9"/>
                </w:tcPr>
                <w:p w:rsidR="00EA2674" w:rsidRDefault="00EA2674" w:rsidP="00EA2674">
                  <w:pPr>
                    <w:spacing w:line="360" w:lineRule="auto"/>
                    <w:jc w:val="both"/>
                    <w:rPr>
                      <w:rFonts w:ascii="Arial" w:hAnsi="Arial" w:cs="Arial"/>
                      <w:sz w:val="24"/>
                    </w:rPr>
                  </w:pPr>
                  <w:r>
                    <w:rPr>
                      <w:rFonts w:ascii="Arial" w:hAnsi="Arial" w:cs="Arial"/>
                      <w:sz w:val="24"/>
                    </w:rPr>
                    <w:t>Assets</w:t>
                  </w:r>
                </w:p>
              </w:tc>
            </w:tr>
            <w:tr w:rsidR="00EA2674" w:rsidTr="00667230">
              <w:tc>
                <w:tcPr>
                  <w:tcW w:w="805" w:type="dxa"/>
                  <w:shd w:val="clear" w:color="auto" w:fill="FFFFFF" w:themeFill="background1"/>
                </w:tcPr>
                <w:p w:rsidR="00EA2674" w:rsidRDefault="00EA2674" w:rsidP="00EA2674">
                  <w:pPr>
                    <w:spacing w:line="360" w:lineRule="auto"/>
                    <w:jc w:val="both"/>
                    <w:rPr>
                      <w:rFonts w:ascii="Arial" w:hAnsi="Arial" w:cs="Arial"/>
                      <w:sz w:val="24"/>
                    </w:rPr>
                  </w:pPr>
                  <w:r>
                    <w:rPr>
                      <w:rFonts w:ascii="Arial" w:hAnsi="Arial" w:cs="Arial"/>
                      <w:sz w:val="24"/>
                    </w:rPr>
                    <w:t>-</w:t>
                  </w:r>
                </w:p>
              </w:tc>
              <w:tc>
                <w:tcPr>
                  <w:tcW w:w="4590" w:type="dxa"/>
                  <w:shd w:val="clear" w:color="auto" w:fill="FFFFFF" w:themeFill="background1"/>
                </w:tcPr>
                <w:p w:rsidR="00EA2674" w:rsidRDefault="00EA2674" w:rsidP="00EA2674">
                  <w:pPr>
                    <w:spacing w:line="360" w:lineRule="auto"/>
                    <w:jc w:val="both"/>
                    <w:rPr>
                      <w:rFonts w:ascii="Arial" w:hAnsi="Arial" w:cs="Arial"/>
                      <w:sz w:val="24"/>
                    </w:rPr>
                  </w:pPr>
                  <w:r>
                    <w:rPr>
                      <w:rFonts w:ascii="Arial" w:hAnsi="Arial" w:cs="Arial"/>
                      <w:sz w:val="24"/>
                    </w:rPr>
                    <w:t>Liabilities</w:t>
                  </w:r>
                </w:p>
              </w:tc>
            </w:tr>
            <w:tr w:rsidR="00EA2674" w:rsidTr="00667230">
              <w:tc>
                <w:tcPr>
                  <w:tcW w:w="805" w:type="dxa"/>
                  <w:shd w:val="clear" w:color="auto" w:fill="D9D9D9" w:themeFill="background1" w:themeFillShade="D9"/>
                </w:tcPr>
                <w:p w:rsidR="00EA2674" w:rsidRDefault="00EA2674" w:rsidP="00EA2674">
                  <w:pPr>
                    <w:spacing w:line="360" w:lineRule="auto"/>
                    <w:jc w:val="both"/>
                    <w:rPr>
                      <w:rFonts w:ascii="Arial" w:hAnsi="Arial" w:cs="Arial"/>
                      <w:sz w:val="24"/>
                    </w:rPr>
                  </w:pPr>
                  <w:r>
                    <w:rPr>
                      <w:rFonts w:ascii="Arial" w:hAnsi="Arial" w:cs="Arial"/>
                      <w:sz w:val="24"/>
                    </w:rPr>
                    <w:t>=</w:t>
                  </w:r>
                </w:p>
              </w:tc>
              <w:tc>
                <w:tcPr>
                  <w:tcW w:w="4590" w:type="dxa"/>
                  <w:shd w:val="clear" w:color="auto" w:fill="D9D9D9" w:themeFill="background1" w:themeFillShade="D9"/>
                </w:tcPr>
                <w:p w:rsidR="00EA2674" w:rsidRDefault="00EA2674" w:rsidP="00EA2674">
                  <w:pPr>
                    <w:spacing w:line="360" w:lineRule="auto"/>
                    <w:jc w:val="both"/>
                    <w:rPr>
                      <w:rFonts w:ascii="Arial" w:hAnsi="Arial" w:cs="Arial"/>
                      <w:sz w:val="24"/>
                    </w:rPr>
                  </w:pPr>
                  <w:r>
                    <w:rPr>
                      <w:rFonts w:ascii="Arial" w:hAnsi="Arial" w:cs="Arial"/>
                      <w:sz w:val="24"/>
                    </w:rPr>
                    <w:t>Net worth</w:t>
                  </w:r>
                </w:p>
              </w:tc>
            </w:tr>
            <w:tr w:rsidR="00EA2674" w:rsidTr="00667230">
              <w:tc>
                <w:tcPr>
                  <w:tcW w:w="805" w:type="dxa"/>
                  <w:shd w:val="clear" w:color="auto" w:fill="FFFFFF" w:themeFill="background1"/>
                </w:tcPr>
                <w:p w:rsidR="00EA2674" w:rsidRDefault="00EA2674" w:rsidP="00EA2674">
                  <w:pPr>
                    <w:spacing w:line="360" w:lineRule="auto"/>
                    <w:jc w:val="both"/>
                    <w:rPr>
                      <w:rFonts w:ascii="Arial" w:hAnsi="Arial" w:cs="Arial"/>
                      <w:sz w:val="24"/>
                    </w:rPr>
                  </w:pPr>
                  <w:r>
                    <w:rPr>
                      <w:rFonts w:ascii="Arial" w:hAnsi="Arial" w:cs="Arial"/>
                      <w:sz w:val="24"/>
                    </w:rPr>
                    <w:t>-</w:t>
                  </w:r>
                </w:p>
              </w:tc>
              <w:tc>
                <w:tcPr>
                  <w:tcW w:w="4590" w:type="dxa"/>
                  <w:shd w:val="clear" w:color="auto" w:fill="FFFFFF" w:themeFill="background1"/>
                </w:tcPr>
                <w:p w:rsidR="00EA2674" w:rsidRDefault="00EA2674" w:rsidP="00EA2674">
                  <w:pPr>
                    <w:spacing w:line="360" w:lineRule="auto"/>
                    <w:jc w:val="both"/>
                    <w:rPr>
                      <w:rFonts w:ascii="Arial" w:hAnsi="Arial" w:cs="Arial"/>
                      <w:sz w:val="24"/>
                    </w:rPr>
                  </w:pPr>
                  <w:r>
                    <w:rPr>
                      <w:rFonts w:ascii="Arial" w:hAnsi="Arial" w:cs="Arial"/>
                      <w:sz w:val="24"/>
                    </w:rPr>
                    <w:t>Prior year’s net worth</w:t>
                  </w:r>
                </w:p>
              </w:tc>
            </w:tr>
            <w:tr w:rsidR="00EA2674" w:rsidTr="00667230">
              <w:tc>
                <w:tcPr>
                  <w:tcW w:w="805" w:type="dxa"/>
                  <w:shd w:val="clear" w:color="auto" w:fill="D9D9D9" w:themeFill="background1" w:themeFillShade="D9"/>
                </w:tcPr>
                <w:p w:rsidR="00EA2674" w:rsidRDefault="00EA2674" w:rsidP="00EA2674">
                  <w:pPr>
                    <w:spacing w:line="360" w:lineRule="auto"/>
                    <w:jc w:val="both"/>
                    <w:rPr>
                      <w:rFonts w:ascii="Arial" w:hAnsi="Arial" w:cs="Arial"/>
                      <w:sz w:val="24"/>
                    </w:rPr>
                  </w:pPr>
                  <w:r>
                    <w:rPr>
                      <w:rFonts w:ascii="Arial" w:hAnsi="Arial" w:cs="Arial"/>
                      <w:sz w:val="24"/>
                    </w:rPr>
                    <w:t>=</w:t>
                  </w:r>
                </w:p>
              </w:tc>
              <w:tc>
                <w:tcPr>
                  <w:tcW w:w="4590" w:type="dxa"/>
                  <w:shd w:val="clear" w:color="auto" w:fill="D9D9D9" w:themeFill="background1" w:themeFillShade="D9"/>
                </w:tcPr>
                <w:p w:rsidR="00EA2674" w:rsidRDefault="00EA2674" w:rsidP="00EA2674">
                  <w:pPr>
                    <w:spacing w:line="360" w:lineRule="auto"/>
                    <w:jc w:val="both"/>
                    <w:rPr>
                      <w:rFonts w:ascii="Arial" w:hAnsi="Arial" w:cs="Arial"/>
                      <w:sz w:val="24"/>
                    </w:rPr>
                  </w:pPr>
                  <w:r>
                    <w:rPr>
                      <w:rFonts w:ascii="Arial" w:hAnsi="Arial" w:cs="Arial"/>
                      <w:sz w:val="24"/>
                    </w:rPr>
                    <w:t>Net worth increase</w:t>
                  </w:r>
                </w:p>
              </w:tc>
            </w:tr>
            <w:tr w:rsidR="00EA2674" w:rsidTr="00667230">
              <w:tc>
                <w:tcPr>
                  <w:tcW w:w="805" w:type="dxa"/>
                  <w:shd w:val="clear" w:color="auto" w:fill="FFFFFF" w:themeFill="background1"/>
                </w:tcPr>
                <w:p w:rsidR="00EA2674" w:rsidRDefault="00EA2674" w:rsidP="00EA2674">
                  <w:pPr>
                    <w:spacing w:line="360" w:lineRule="auto"/>
                    <w:jc w:val="both"/>
                    <w:rPr>
                      <w:rFonts w:ascii="Arial" w:hAnsi="Arial" w:cs="Arial"/>
                      <w:sz w:val="24"/>
                    </w:rPr>
                  </w:pPr>
                  <w:r>
                    <w:rPr>
                      <w:rFonts w:ascii="Arial" w:hAnsi="Arial" w:cs="Arial"/>
                      <w:sz w:val="24"/>
                    </w:rPr>
                    <w:t>+</w:t>
                  </w:r>
                </w:p>
              </w:tc>
              <w:tc>
                <w:tcPr>
                  <w:tcW w:w="4590" w:type="dxa"/>
                  <w:shd w:val="clear" w:color="auto" w:fill="FFFFFF" w:themeFill="background1"/>
                </w:tcPr>
                <w:p w:rsidR="00EA2674" w:rsidRDefault="00EA2674" w:rsidP="00EA2674">
                  <w:pPr>
                    <w:spacing w:line="360" w:lineRule="auto"/>
                    <w:jc w:val="both"/>
                    <w:rPr>
                      <w:rFonts w:ascii="Arial" w:hAnsi="Arial" w:cs="Arial"/>
                      <w:sz w:val="24"/>
                    </w:rPr>
                  </w:pPr>
                  <w:r>
                    <w:rPr>
                      <w:rFonts w:ascii="Arial" w:hAnsi="Arial" w:cs="Arial"/>
                      <w:sz w:val="24"/>
                    </w:rPr>
                    <w:t>Living expenses</w:t>
                  </w:r>
                </w:p>
              </w:tc>
            </w:tr>
            <w:tr w:rsidR="00EA2674" w:rsidTr="00667230">
              <w:tc>
                <w:tcPr>
                  <w:tcW w:w="805" w:type="dxa"/>
                  <w:shd w:val="clear" w:color="auto" w:fill="D9D9D9" w:themeFill="background1" w:themeFillShade="D9"/>
                </w:tcPr>
                <w:p w:rsidR="00EA2674" w:rsidRDefault="00EA2674" w:rsidP="00EA2674">
                  <w:pPr>
                    <w:spacing w:line="360" w:lineRule="auto"/>
                    <w:jc w:val="both"/>
                    <w:rPr>
                      <w:rFonts w:ascii="Arial" w:hAnsi="Arial" w:cs="Arial"/>
                      <w:sz w:val="24"/>
                    </w:rPr>
                  </w:pPr>
                  <w:r>
                    <w:rPr>
                      <w:rFonts w:ascii="Arial" w:hAnsi="Arial" w:cs="Arial"/>
                      <w:sz w:val="24"/>
                    </w:rPr>
                    <w:t>=</w:t>
                  </w:r>
                </w:p>
              </w:tc>
              <w:tc>
                <w:tcPr>
                  <w:tcW w:w="4590" w:type="dxa"/>
                  <w:shd w:val="clear" w:color="auto" w:fill="D9D9D9" w:themeFill="background1" w:themeFillShade="D9"/>
                </w:tcPr>
                <w:p w:rsidR="00EA2674" w:rsidRDefault="00EA2674" w:rsidP="00EA2674">
                  <w:pPr>
                    <w:spacing w:line="360" w:lineRule="auto"/>
                    <w:jc w:val="both"/>
                    <w:rPr>
                      <w:rFonts w:ascii="Arial" w:hAnsi="Arial" w:cs="Arial"/>
                      <w:sz w:val="24"/>
                    </w:rPr>
                  </w:pPr>
                  <w:r>
                    <w:rPr>
                      <w:rFonts w:ascii="Arial" w:hAnsi="Arial" w:cs="Arial"/>
                      <w:sz w:val="24"/>
                    </w:rPr>
                    <w:t>Income or (expenses)</w:t>
                  </w:r>
                </w:p>
              </w:tc>
            </w:tr>
            <w:tr w:rsidR="00EA2674" w:rsidTr="00667230">
              <w:tc>
                <w:tcPr>
                  <w:tcW w:w="805" w:type="dxa"/>
                  <w:shd w:val="clear" w:color="auto" w:fill="FFFFFF" w:themeFill="background1"/>
                </w:tcPr>
                <w:p w:rsidR="00EA2674" w:rsidRDefault="00EA2674" w:rsidP="00EA2674">
                  <w:pPr>
                    <w:spacing w:line="360" w:lineRule="auto"/>
                    <w:jc w:val="both"/>
                    <w:rPr>
                      <w:rFonts w:ascii="Arial" w:hAnsi="Arial" w:cs="Arial"/>
                      <w:sz w:val="24"/>
                    </w:rPr>
                  </w:pPr>
                  <w:r>
                    <w:rPr>
                      <w:rFonts w:ascii="Arial" w:hAnsi="Arial" w:cs="Arial"/>
                      <w:sz w:val="24"/>
                    </w:rPr>
                    <w:t>-</w:t>
                  </w:r>
                </w:p>
              </w:tc>
              <w:tc>
                <w:tcPr>
                  <w:tcW w:w="4590" w:type="dxa"/>
                  <w:shd w:val="clear" w:color="auto" w:fill="FFFFFF" w:themeFill="background1"/>
                </w:tcPr>
                <w:p w:rsidR="00EA2674" w:rsidRDefault="00EA2674" w:rsidP="00EA2674">
                  <w:pPr>
                    <w:spacing w:line="360" w:lineRule="auto"/>
                    <w:jc w:val="both"/>
                    <w:rPr>
                      <w:rFonts w:ascii="Arial" w:hAnsi="Arial" w:cs="Arial"/>
                      <w:sz w:val="24"/>
                    </w:rPr>
                  </w:pPr>
                  <w:r>
                    <w:rPr>
                      <w:rFonts w:ascii="Arial" w:hAnsi="Arial" w:cs="Arial"/>
                      <w:sz w:val="24"/>
                    </w:rPr>
                    <w:t>Funds from known sources</w:t>
                  </w:r>
                </w:p>
              </w:tc>
            </w:tr>
            <w:tr w:rsidR="00EA2674" w:rsidTr="00667230">
              <w:tc>
                <w:tcPr>
                  <w:tcW w:w="805" w:type="dxa"/>
                  <w:shd w:val="clear" w:color="auto" w:fill="D9D9D9" w:themeFill="background1" w:themeFillShade="D9"/>
                </w:tcPr>
                <w:p w:rsidR="00EA2674" w:rsidRDefault="00EA2674" w:rsidP="00EA2674">
                  <w:pPr>
                    <w:spacing w:line="360" w:lineRule="auto"/>
                    <w:jc w:val="both"/>
                    <w:rPr>
                      <w:rFonts w:ascii="Arial" w:hAnsi="Arial" w:cs="Arial"/>
                      <w:sz w:val="24"/>
                    </w:rPr>
                  </w:pPr>
                  <w:r>
                    <w:rPr>
                      <w:rFonts w:ascii="Arial" w:hAnsi="Arial" w:cs="Arial"/>
                      <w:sz w:val="24"/>
                    </w:rPr>
                    <w:t>=</w:t>
                  </w:r>
                </w:p>
              </w:tc>
              <w:tc>
                <w:tcPr>
                  <w:tcW w:w="4590" w:type="dxa"/>
                  <w:shd w:val="clear" w:color="auto" w:fill="D9D9D9" w:themeFill="background1" w:themeFillShade="D9"/>
                </w:tcPr>
                <w:p w:rsidR="00EA2674" w:rsidRDefault="00EA2674" w:rsidP="00EA2674">
                  <w:pPr>
                    <w:spacing w:line="360" w:lineRule="auto"/>
                    <w:jc w:val="both"/>
                    <w:rPr>
                      <w:rFonts w:ascii="Arial" w:hAnsi="Arial" w:cs="Arial"/>
                      <w:sz w:val="24"/>
                    </w:rPr>
                  </w:pPr>
                  <w:r>
                    <w:rPr>
                      <w:rFonts w:ascii="Arial" w:hAnsi="Arial" w:cs="Arial"/>
                      <w:sz w:val="24"/>
                    </w:rPr>
                    <w:t>Funds from unknown sources</w:t>
                  </w:r>
                </w:p>
              </w:tc>
            </w:tr>
          </w:tbl>
          <w:p w:rsidR="00EA2674" w:rsidRDefault="00EA2674" w:rsidP="00EA2674">
            <w:pPr>
              <w:spacing w:line="360" w:lineRule="auto"/>
              <w:jc w:val="both"/>
              <w:rPr>
                <w:rFonts w:ascii="Arial" w:hAnsi="Arial" w:cs="Arial"/>
                <w:sz w:val="24"/>
              </w:rPr>
            </w:pPr>
          </w:p>
          <w:p w:rsidR="00EA2674" w:rsidRDefault="00EA2674" w:rsidP="00EA2674">
            <w:pPr>
              <w:spacing w:line="360" w:lineRule="auto"/>
              <w:jc w:val="both"/>
              <w:rPr>
                <w:rFonts w:ascii="Arial" w:hAnsi="Arial" w:cs="Arial"/>
                <w:sz w:val="24"/>
              </w:rPr>
            </w:pPr>
          </w:p>
          <w:p w:rsidR="00EA2674" w:rsidRDefault="00EA2674" w:rsidP="00EA2674">
            <w:pPr>
              <w:spacing w:line="360" w:lineRule="auto"/>
              <w:jc w:val="both"/>
              <w:rPr>
                <w:rFonts w:ascii="Arial" w:hAnsi="Arial" w:cs="Arial"/>
                <w:sz w:val="24"/>
              </w:rPr>
            </w:pPr>
          </w:p>
          <w:p w:rsidR="00EA2674" w:rsidRDefault="00EA2674" w:rsidP="00EA2674">
            <w:pPr>
              <w:spacing w:line="360" w:lineRule="auto"/>
              <w:jc w:val="both"/>
              <w:rPr>
                <w:rFonts w:ascii="Arial" w:hAnsi="Arial" w:cs="Arial"/>
                <w:sz w:val="24"/>
              </w:rPr>
            </w:pPr>
          </w:p>
          <w:p w:rsidR="00EA2674" w:rsidRDefault="00EA2674" w:rsidP="00EA2674">
            <w:pPr>
              <w:spacing w:line="360" w:lineRule="auto"/>
              <w:jc w:val="both"/>
              <w:rPr>
                <w:rFonts w:ascii="Arial" w:hAnsi="Arial" w:cs="Arial"/>
                <w:sz w:val="24"/>
              </w:rPr>
            </w:pPr>
          </w:p>
          <w:p w:rsidR="00EA2674" w:rsidRDefault="00EA2674" w:rsidP="00EA2674">
            <w:pPr>
              <w:spacing w:line="360" w:lineRule="auto"/>
              <w:jc w:val="both"/>
              <w:rPr>
                <w:rFonts w:ascii="Arial" w:hAnsi="Arial" w:cs="Arial"/>
                <w:sz w:val="24"/>
              </w:rPr>
            </w:pPr>
          </w:p>
          <w:p w:rsidR="00EA2674" w:rsidRDefault="00EA2674" w:rsidP="00EA2674">
            <w:pPr>
              <w:spacing w:line="360" w:lineRule="auto"/>
              <w:jc w:val="both"/>
              <w:rPr>
                <w:rFonts w:ascii="Arial" w:hAnsi="Arial" w:cs="Arial"/>
                <w:sz w:val="24"/>
              </w:rPr>
            </w:pPr>
          </w:p>
          <w:p w:rsidR="00EA2674" w:rsidRDefault="00EA2674" w:rsidP="00EA2674">
            <w:pPr>
              <w:spacing w:line="360" w:lineRule="auto"/>
              <w:jc w:val="both"/>
              <w:rPr>
                <w:rFonts w:ascii="Arial" w:hAnsi="Arial" w:cs="Arial"/>
                <w:sz w:val="24"/>
              </w:rPr>
            </w:pPr>
            <w:r>
              <w:rPr>
                <w:rFonts w:ascii="Arial" w:hAnsi="Arial" w:cs="Arial"/>
                <w:sz w:val="24"/>
              </w:rPr>
              <w:t xml:space="preserve">         </w:t>
            </w:r>
          </w:p>
          <w:p w:rsidR="00EA2674" w:rsidRDefault="00EA2674" w:rsidP="00EA2674">
            <w:pPr>
              <w:spacing w:line="360" w:lineRule="auto"/>
              <w:jc w:val="both"/>
              <w:rPr>
                <w:rFonts w:ascii="Arial" w:hAnsi="Arial" w:cs="Arial"/>
                <w:sz w:val="24"/>
              </w:rPr>
            </w:pPr>
          </w:p>
          <w:p w:rsidR="00EA2674" w:rsidRDefault="00EA2674" w:rsidP="00EA2674">
            <w:pPr>
              <w:spacing w:line="360" w:lineRule="auto"/>
              <w:jc w:val="both"/>
              <w:rPr>
                <w:rFonts w:ascii="Arial" w:hAnsi="Arial" w:cs="Arial"/>
                <w:sz w:val="24"/>
              </w:rPr>
            </w:pPr>
          </w:p>
          <w:p w:rsidR="00EA2674" w:rsidRDefault="00EA2674" w:rsidP="00EA2674">
            <w:pPr>
              <w:spacing w:line="360" w:lineRule="auto"/>
              <w:jc w:val="both"/>
              <w:rPr>
                <w:rFonts w:ascii="Arial" w:hAnsi="Arial" w:cs="Arial"/>
                <w:sz w:val="24"/>
              </w:rPr>
            </w:pPr>
          </w:p>
          <w:p w:rsidR="00EA2674" w:rsidRPr="007046F9" w:rsidRDefault="00EA2674" w:rsidP="00EA2674">
            <w:pPr>
              <w:spacing w:line="360" w:lineRule="auto"/>
              <w:jc w:val="both"/>
              <w:rPr>
                <w:rFonts w:ascii="Arial" w:hAnsi="Arial" w:cs="Arial"/>
                <w:b/>
                <w:sz w:val="24"/>
              </w:rPr>
            </w:pPr>
            <w:r>
              <w:rPr>
                <w:rFonts w:ascii="Arial" w:hAnsi="Arial" w:cs="Arial"/>
                <w:sz w:val="24"/>
              </w:rPr>
              <w:t xml:space="preserve"> </w:t>
            </w:r>
            <w:r>
              <w:rPr>
                <w:rFonts w:ascii="Arial" w:hAnsi="Arial" w:cs="Arial"/>
                <w:sz w:val="24"/>
              </w:rPr>
              <w:t xml:space="preserve">           </w:t>
            </w:r>
            <w:r w:rsidRPr="007046F9">
              <w:rPr>
                <w:rFonts w:ascii="Arial" w:hAnsi="Arial" w:cs="Arial"/>
                <w:b/>
                <w:sz w:val="24"/>
              </w:rPr>
              <w:t>Source: ACFE Fraud Manual, 2015 p 3.949</w:t>
            </w:r>
          </w:p>
          <w:p w:rsidR="007046F9" w:rsidRDefault="007046F9" w:rsidP="00EA2674">
            <w:pPr>
              <w:spacing w:line="360" w:lineRule="auto"/>
              <w:jc w:val="both"/>
              <w:rPr>
                <w:rFonts w:ascii="Arial" w:hAnsi="Arial" w:cs="Arial"/>
                <w:sz w:val="24"/>
              </w:rPr>
            </w:pPr>
          </w:p>
          <w:p w:rsidR="00EA2674" w:rsidRDefault="00EA2674" w:rsidP="00EA2674">
            <w:pPr>
              <w:spacing w:line="360" w:lineRule="auto"/>
              <w:ind w:left="720"/>
              <w:jc w:val="both"/>
              <w:rPr>
                <w:rFonts w:ascii="Arial" w:hAnsi="Arial" w:cs="Arial"/>
                <w:sz w:val="24"/>
              </w:rPr>
            </w:pPr>
            <w:r>
              <w:rPr>
                <w:rFonts w:ascii="Arial" w:hAnsi="Arial" w:cs="Arial"/>
                <w:sz w:val="24"/>
              </w:rPr>
              <w:t>The table above shows the type of evidence that the forensic expert used for his report. The examiner should value the assets at cost (what was paid to acquire the asset) and any subsequent appreciations or depreciations should be excluded. Funds from known sources includes salary incomes of all members of the family and income from equity investments. Since the expert conclude that no illegal sources were used to acquire the properties funds from unknown sources above must have been equal to zero.</w:t>
            </w:r>
          </w:p>
          <w:p w:rsidR="00EA2674" w:rsidRDefault="00EA2674" w:rsidP="00EA2674">
            <w:pPr>
              <w:pStyle w:val="ListParagraph"/>
              <w:numPr>
                <w:ilvl w:val="0"/>
                <w:numId w:val="7"/>
              </w:numPr>
              <w:spacing w:after="160" w:line="360" w:lineRule="auto"/>
              <w:ind w:left="720" w:hanging="540"/>
              <w:jc w:val="both"/>
              <w:rPr>
                <w:rFonts w:ascii="Arial" w:hAnsi="Arial" w:cs="Arial"/>
                <w:sz w:val="24"/>
              </w:rPr>
            </w:pPr>
            <w:r>
              <w:rPr>
                <w:rFonts w:ascii="Arial" w:hAnsi="Arial" w:cs="Arial"/>
                <w:sz w:val="24"/>
              </w:rPr>
              <w:lastRenderedPageBreak/>
              <w:t>To gather the information for the above analysis the expert will need to verify the cost of the assets. This information is obtained from purchases invoices and receipts. This is useful since assets should be recorded at cost. It might be helpful to verify with the creditor who sold the property.</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t>Information about funds from known sources are such as wages and salaries is obtained from pay slips or pay advice issued to employees by the employer. Salary information for both the man and his wife must be obtained from the salaries.</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t>Share certificates for the equity held by the subject must be obtained and analysed. Companies and banks may issue statements to owners of equity detailing any changes that have been made to the subject’s shareholding showing any dividends received.</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t>Public records can also be used to obtain information about the property held by the subject including the agreements of sale and any contracts for the purchase of assets.</w:t>
            </w:r>
          </w:p>
          <w:p w:rsidR="00EA2674" w:rsidRDefault="00EA2674" w:rsidP="00EA2674">
            <w:pPr>
              <w:pStyle w:val="ListParagraph"/>
              <w:spacing w:line="360" w:lineRule="auto"/>
              <w:jc w:val="both"/>
              <w:rPr>
                <w:rFonts w:ascii="Arial" w:hAnsi="Arial" w:cs="Arial"/>
                <w:sz w:val="24"/>
              </w:rPr>
            </w:pPr>
          </w:p>
          <w:p w:rsidR="00EA2674" w:rsidRDefault="00EA2674" w:rsidP="00EA2674">
            <w:pPr>
              <w:pStyle w:val="ListParagraph"/>
              <w:spacing w:line="360" w:lineRule="auto"/>
              <w:jc w:val="both"/>
              <w:rPr>
                <w:rFonts w:ascii="Arial" w:hAnsi="Arial" w:cs="Arial"/>
                <w:sz w:val="24"/>
              </w:rPr>
            </w:pPr>
            <w:r>
              <w:rPr>
                <w:rFonts w:ascii="Arial" w:hAnsi="Arial" w:cs="Arial"/>
                <w:sz w:val="24"/>
              </w:rPr>
              <w:t>Liabilities such as loans from banks can be verified by obtaining loan repayments statements from the bank. The subject should consent in writing that the bank should release such information.</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BF2017" w:rsidRDefault="00BF2017" w:rsidP="00A851DA">
      <w:pPr>
        <w:autoSpaceDE w:val="0"/>
        <w:autoSpaceDN w:val="0"/>
        <w:adjustRightInd w:val="0"/>
        <w:spacing w:after="0" w:line="240" w:lineRule="auto"/>
        <w:rPr>
          <w:rFonts w:cs="CalvertMT-Bold"/>
          <w:b/>
          <w:bCs/>
          <w:color w:val="002060"/>
          <w:sz w:val="28"/>
          <w:lang w:val="en-US"/>
        </w:rPr>
      </w:pPr>
    </w:p>
    <w:p w:rsidR="00400B76" w:rsidRDefault="00400B76" w:rsidP="00A851DA">
      <w:pPr>
        <w:autoSpaceDE w:val="0"/>
        <w:autoSpaceDN w:val="0"/>
        <w:adjustRightInd w:val="0"/>
        <w:spacing w:after="0" w:line="240" w:lineRule="auto"/>
        <w:rPr>
          <w:rFonts w:cs="CalvertMT-Bold"/>
          <w:b/>
          <w:bCs/>
          <w:color w:val="002060"/>
          <w:sz w:val="28"/>
          <w:lang w:val="en-US"/>
        </w:rPr>
      </w:pPr>
      <w:bookmarkStart w:id="0" w:name="_GoBack"/>
      <w:bookmarkEnd w:id="0"/>
    </w:p>
    <w:p w:rsidR="00BF2017" w:rsidRDefault="00BF201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27"/>
        <w:gridCol w:w="1245"/>
        <w:gridCol w:w="159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BD101E" w:rsidRPr="000C2035" w:rsidRDefault="00D96108" w:rsidP="00A851DA">
            <w:pPr>
              <w:rPr>
                <w:rFonts w:ascii="Arial" w:hAnsi="Arial" w:cs="Arial"/>
                <w:color w:val="000000"/>
              </w:rPr>
            </w:pPr>
            <w:r w:rsidRPr="000C2035">
              <w:rPr>
                <w:rFonts w:ascii="Arial" w:hAnsi="Arial" w:cs="Arial"/>
                <w:color w:val="000000"/>
                <w:sz w:val="24"/>
              </w:rPr>
              <w:t>Aleck Mandivengerei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C7925" w:rsidP="00A851DA">
            <w:pPr>
              <w:rPr>
                <w:rFonts w:cs="Bliss-Regular"/>
                <w:color w:val="000000"/>
              </w:rPr>
            </w:pPr>
            <w:r>
              <w:rPr>
                <w:rFonts w:cs="Bliss-Regular"/>
                <w:color w:val="000000"/>
              </w:rPr>
              <w:t>14/03/16</w:t>
            </w:r>
          </w:p>
        </w:tc>
      </w:tr>
    </w:tbl>
    <w:p w:rsidR="00A851DA" w:rsidRPr="00B0415E" w:rsidRDefault="00A851DA" w:rsidP="00A851DA">
      <w:pPr>
        <w:rPr>
          <w:rFonts w:cs="Bliss-Regular"/>
          <w:color w:val="000000"/>
          <w:lang w:val="en-US"/>
        </w:rPr>
      </w:pPr>
    </w:p>
    <w:p w:rsidR="00A851DA" w:rsidRPr="00B0415E" w:rsidRDefault="00503D7E" w:rsidP="00BD101E">
      <w:pPr>
        <w:shd w:val="clear" w:color="auto" w:fill="D9D9D9" w:themeFill="background1" w:themeFillShade="D9"/>
        <w:ind w:left="-90"/>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BF2017">
      <w:pPr>
        <w:rPr>
          <w:rFonts w:cs="Times New Roman"/>
          <w:sz w:val="24"/>
          <w:szCs w:val="32"/>
        </w:rPr>
      </w:pPr>
    </w:p>
    <w:sectPr w:rsidR="00A851DA" w:rsidSect="00BF2017">
      <w:pgSz w:w="11906" w:h="16838"/>
      <w:pgMar w:top="900" w:right="1440" w:bottom="117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0B3" w:rsidRDefault="00C450B3" w:rsidP="00CB4D0A">
      <w:pPr>
        <w:spacing w:after="0" w:line="240" w:lineRule="auto"/>
      </w:pPr>
      <w:r>
        <w:separator/>
      </w:r>
    </w:p>
  </w:endnote>
  <w:endnote w:type="continuationSeparator" w:id="0">
    <w:p w:rsidR="00C450B3" w:rsidRDefault="00C450B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0B3" w:rsidRDefault="00C450B3" w:rsidP="00CB4D0A">
      <w:pPr>
        <w:spacing w:after="0" w:line="240" w:lineRule="auto"/>
      </w:pPr>
      <w:r>
        <w:separator/>
      </w:r>
    </w:p>
  </w:footnote>
  <w:footnote w:type="continuationSeparator" w:id="0">
    <w:p w:rsidR="00C450B3" w:rsidRDefault="00C450B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B7DCD"/>
    <w:multiLevelType w:val="hybridMultilevel"/>
    <w:tmpl w:val="E62CD92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EBB4EDC"/>
    <w:multiLevelType w:val="hybridMultilevel"/>
    <w:tmpl w:val="48B2693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1D83CD1"/>
    <w:multiLevelType w:val="hybridMultilevel"/>
    <w:tmpl w:val="CE46D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B06B4A"/>
    <w:multiLevelType w:val="hybridMultilevel"/>
    <w:tmpl w:val="5FBE5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BB4592"/>
    <w:multiLevelType w:val="hybridMultilevel"/>
    <w:tmpl w:val="7BEA62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4BC09AB"/>
    <w:multiLevelType w:val="hybridMultilevel"/>
    <w:tmpl w:val="03D0BB6C"/>
    <w:lvl w:ilvl="0" w:tplc="19C85F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0"/>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2035"/>
    <w:rsid w:val="001175EE"/>
    <w:rsid w:val="00157CF6"/>
    <w:rsid w:val="00182416"/>
    <w:rsid w:val="00187EB4"/>
    <w:rsid w:val="001F0481"/>
    <w:rsid w:val="00200C92"/>
    <w:rsid w:val="0020451E"/>
    <w:rsid w:val="00204F07"/>
    <w:rsid w:val="00206B9D"/>
    <w:rsid w:val="0023259C"/>
    <w:rsid w:val="00264580"/>
    <w:rsid w:val="002B0BD7"/>
    <w:rsid w:val="002B573D"/>
    <w:rsid w:val="002C5CB2"/>
    <w:rsid w:val="002F779F"/>
    <w:rsid w:val="003121C2"/>
    <w:rsid w:val="00371885"/>
    <w:rsid w:val="0037226E"/>
    <w:rsid w:val="003E2B87"/>
    <w:rsid w:val="00400B76"/>
    <w:rsid w:val="00402786"/>
    <w:rsid w:val="00405895"/>
    <w:rsid w:val="004058DF"/>
    <w:rsid w:val="00443E6F"/>
    <w:rsid w:val="00486F1A"/>
    <w:rsid w:val="00490CB9"/>
    <w:rsid w:val="004A2CE2"/>
    <w:rsid w:val="004B114C"/>
    <w:rsid w:val="004E3CDA"/>
    <w:rsid w:val="004F4B4D"/>
    <w:rsid w:val="0050216D"/>
    <w:rsid w:val="00503D7E"/>
    <w:rsid w:val="0050778F"/>
    <w:rsid w:val="00527C11"/>
    <w:rsid w:val="00535F31"/>
    <w:rsid w:val="005668FC"/>
    <w:rsid w:val="00574D64"/>
    <w:rsid w:val="00591365"/>
    <w:rsid w:val="005B31E4"/>
    <w:rsid w:val="006034F6"/>
    <w:rsid w:val="00607874"/>
    <w:rsid w:val="00607E77"/>
    <w:rsid w:val="00617BB3"/>
    <w:rsid w:val="00645CDD"/>
    <w:rsid w:val="006823A7"/>
    <w:rsid w:val="00687EE8"/>
    <w:rsid w:val="0070347F"/>
    <w:rsid w:val="007046F9"/>
    <w:rsid w:val="0070678E"/>
    <w:rsid w:val="00831C11"/>
    <w:rsid w:val="008A60B4"/>
    <w:rsid w:val="008B3C31"/>
    <w:rsid w:val="008B64FE"/>
    <w:rsid w:val="008C4B3A"/>
    <w:rsid w:val="008D55A2"/>
    <w:rsid w:val="00933838"/>
    <w:rsid w:val="00935BF7"/>
    <w:rsid w:val="0095442C"/>
    <w:rsid w:val="00983942"/>
    <w:rsid w:val="009C37E0"/>
    <w:rsid w:val="009C7925"/>
    <w:rsid w:val="009E41F4"/>
    <w:rsid w:val="00A14B66"/>
    <w:rsid w:val="00A65CF7"/>
    <w:rsid w:val="00A81AB4"/>
    <w:rsid w:val="00A851DA"/>
    <w:rsid w:val="00AC7D5B"/>
    <w:rsid w:val="00AE1481"/>
    <w:rsid w:val="00B0415E"/>
    <w:rsid w:val="00B04678"/>
    <w:rsid w:val="00BC46DF"/>
    <w:rsid w:val="00BD101E"/>
    <w:rsid w:val="00BF2017"/>
    <w:rsid w:val="00C03577"/>
    <w:rsid w:val="00C450B3"/>
    <w:rsid w:val="00C53029"/>
    <w:rsid w:val="00C65FEA"/>
    <w:rsid w:val="00C7497F"/>
    <w:rsid w:val="00CA0AC2"/>
    <w:rsid w:val="00CB4D0A"/>
    <w:rsid w:val="00CC2FB3"/>
    <w:rsid w:val="00CC575A"/>
    <w:rsid w:val="00CF123B"/>
    <w:rsid w:val="00D039AC"/>
    <w:rsid w:val="00D427DE"/>
    <w:rsid w:val="00D5587D"/>
    <w:rsid w:val="00D707CC"/>
    <w:rsid w:val="00D73183"/>
    <w:rsid w:val="00D821FE"/>
    <w:rsid w:val="00D96108"/>
    <w:rsid w:val="00DB0793"/>
    <w:rsid w:val="00E00821"/>
    <w:rsid w:val="00E04DB4"/>
    <w:rsid w:val="00E1331A"/>
    <w:rsid w:val="00E30679"/>
    <w:rsid w:val="00E4597D"/>
    <w:rsid w:val="00E54832"/>
    <w:rsid w:val="00E56A90"/>
    <w:rsid w:val="00E641CC"/>
    <w:rsid w:val="00EA2674"/>
    <w:rsid w:val="00EA30AB"/>
    <w:rsid w:val="00EB3925"/>
    <w:rsid w:val="00EF3DB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51B195"/>
  <w15:docId w15:val="{44AF02C4-72DF-4BCD-B72A-3279294AF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BF201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2017"/>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BF2017"/>
    <w:pPr>
      <w:spacing w:after="160" w:line="259"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02F6B-FECE-4400-A703-2EE5421F9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9</Pages>
  <Words>2478</Words>
  <Characters>14128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15</cp:revision>
  <dcterms:created xsi:type="dcterms:W3CDTF">2016-03-03T04:47:00Z</dcterms:created>
  <dcterms:modified xsi:type="dcterms:W3CDTF">2016-03-14T07:13:00Z</dcterms:modified>
</cp:coreProperties>
</file>