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D6DA7" w:rsidRDefault="00607874" w:rsidP="00A851DA">
      <w:pPr>
        <w:pStyle w:val="Default"/>
        <w:rPr>
          <w:rFonts w:asciiTheme="minorHAnsi" w:hAnsiTheme="minorHAnsi"/>
          <w:color w:val="auto"/>
        </w:rPr>
      </w:pPr>
      <w:r w:rsidRPr="005D6DA7">
        <w:rPr>
          <w:rFonts w:asciiTheme="minorHAnsi" w:hAnsiTheme="minorHAnsi"/>
          <w:noProof/>
          <w:color w:val="auto"/>
          <w:lang w:val="en-GB" w:eastAsia="en-GB"/>
        </w:rPr>
        <w:drawing>
          <wp:anchor distT="0" distB="0" distL="114300" distR="114300" simplePos="0" relativeHeight="251658240" behindDoc="0" locked="0" layoutInCell="1" allowOverlap="1" wp14:anchorId="435053B0" wp14:editId="7BA754A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D6DA7">
        <w:rPr>
          <w:rFonts w:asciiTheme="minorHAnsi" w:hAnsiTheme="minorHAnsi"/>
          <w:color w:val="auto"/>
        </w:rPr>
        <w:t xml:space="preserve">                                                             </w:t>
      </w:r>
      <w:r w:rsidR="00405895" w:rsidRPr="005D6DA7">
        <w:rPr>
          <w:rFonts w:asciiTheme="minorHAnsi" w:hAnsiTheme="minorHAnsi"/>
          <w:color w:val="auto"/>
        </w:rPr>
        <w:t xml:space="preserve">     </w:t>
      </w:r>
    </w:p>
    <w:p w:rsidR="00607874" w:rsidRPr="005D6DA7" w:rsidRDefault="007D671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5D6DA7" w:rsidRDefault="00607874" w:rsidP="00A851DA">
      <w:pPr>
        <w:rPr>
          <w:lang w:val="en-US"/>
        </w:rPr>
      </w:pPr>
    </w:p>
    <w:p w:rsidR="00607874" w:rsidRPr="005D6DA7" w:rsidRDefault="00607874" w:rsidP="00A851DA">
      <w:pPr>
        <w:rPr>
          <w:lang w:val="en-US"/>
        </w:rPr>
      </w:pPr>
    </w:p>
    <w:p w:rsidR="00607874" w:rsidRPr="005D6DA7"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pStyle w:val="Default"/>
              <w:rPr>
                <w:rFonts w:asciiTheme="minorBidi" w:eastAsiaTheme="minorHAnsi" w:hAnsiTheme="minorBidi" w:cstheme="minorBidi"/>
                <w:color w:val="auto"/>
              </w:rPr>
            </w:pPr>
            <w:r w:rsidRPr="005D6DA7">
              <w:rPr>
                <w:rFonts w:asciiTheme="minorBidi" w:eastAsiaTheme="minorHAnsi" w:hAnsiTheme="minorBidi" w:cstheme="minorBidi"/>
                <w:color w:val="auto"/>
              </w:rPr>
              <w:t xml:space="preserve">Ashraf Kamal </w:t>
            </w:r>
            <w:proofErr w:type="spellStart"/>
            <w:r w:rsidRPr="005D6DA7">
              <w:rPr>
                <w:rFonts w:asciiTheme="minorBidi" w:eastAsiaTheme="minorHAnsi" w:hAnsiTheme="minorBidi" w:cstheme="minorBidi"/>
                <w:color w:val="auto"/>
              </w:rPr>
              <w:t>Hamed</w:t>
            </w:r>
            <w:proofErr w:type="spellEnd"/>
            <w:r w:rsidRPr="005D6DA7">
              <w:rPr>
                <w:rFonts w:asciiTheme="minorBidi" w:eastAsiaTheme="minorHAnsi" w:hAnsiTheme="minorBidi" w:cstheme="minorBidi"/>
                <w:color w:val="auto"/>
              </w:rPr>
              <w:t xml:space="preserve"> Bashir</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D6DA7" w:rsidRDefault="00CB2A1B" w:rsidP="00CB2A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heme="minorBidi" w:eastAsia="Times New Roman" w:hAnsiTheme="minorBidi"/>
                <w:sz w:val="24"/>
                <w:szCs w:val="24"/>
              </w:rPr>
            </w:pPr>
            <w:r w:rsidRPr="005D6DA7">
              <w:rPr>
                <w:rFonts w:asciiTheme="minorBidi" w:eastAsia="Times New Roman" w:hAnsiTheme="minorBidi"/>
                <w:sz w:val="24"/>
                <w:szCs w:val="24"/>
              </w:rPr>
              <w:t>1452</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rPr>
                <w:rFonts w:asciiTheme="minorBidi" w:hAnsiTheme="minorBidi"/>
                <w:sz w:val="24"/>
                <w:szCs w:val="24"/>
              </w:rPr>
            </w:pPr>
            <w:r w:rsidRPr="005D6DA7">
              <w:rPr>
                <w:rFonts w:asciiTheme="minorBidi" w:hAnsiTheme="minorBidi"/>
                <w:sz w:val="24"/>
                <w:szCs w:val="24"/>
              </w:rPr>
              <w:t>Diploma in Forensic Accounting</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541806" w:rsidP="00261B95">
            <w:pPr>
              <w:rPr>
                <w:rFonts w:asciiTheme="minorBidi" w:hAnsiTheme="minorBidi"/>
                <w:sz w:val="24"/>
                <w:szCs w:val="24"/>
              </w:rPr>
            </w:pPr>
            <w:r w:rsidRPr="005D6DA7">
              <w:rPr>
                <w:rFonts w:asciiTheme="minorBidi" w:hAnsiTheme="minorBidi"/>
                <w:sz w:val="24"/>
                <w:szCs w:val="24"/>
              </w:rPr>
              <w:t>0</w:t>
            </w:r>
            <w:r w:rsidR="00261B95">
              <w:rPr>
                <w:rFonts w:asciiTheme="minorBidi" w:hAnsiTheme="minorBidi"/>
                <w:sz w:val="24"/>
                <w:szCs w:val="24"/>
              </w:rPr>
              <w:t>6</w:t>
            </w:r>
          </w:p>
        </w:tc>
      </w:tr>
    </w:tbl>
    <w:p w:rsidR="00CC2FB3" w:rsidRPr="005D6DA7" w:rsidRDefault="00CC2FB3" w:rsidP="00A851DA">
      <w:pPr>
        <w:rPr>
          <w:b/>
          <w:lang w:val="en-US"/>
        </w:rPr>
      </w:pPr>
    </w:p>
    <w:p w:rsidR="00443E6F" w:rsidRPr="005D6DA7" w:rsidRDefault="00527C11" w:rsidP="00A851DA">
      <w:pPr>
        <w:rPr>
          <w:b/>
          <w:sz w:val="28"/>
          <w:lang w:val="en-US"/>
        </w:rPr>
      </w:pPr>
      <w:r w:rsidRPr="005D6DA7">
        <w:rPr>
          <w:b/>
          <w:sz w:val="28"/>
          <w:lang w:val="en-US"/>
        </w:rPr>
        <w:t>Marking Criteria:</w:t>
      </w:r>
    </w:p>
    <w:p w:rsidR="00443E6F" w:rsidRPr="005D6DA7" w:rsidRDefault="00527C11" w:rsidP="00A851DA">
      <w:pPr>
        <w:rPr>
          <w:lang w:val="en-US"/>
        </w:rPr>
      </w:pPr>
      <w:r w:rsidRPr="005D6DA7">
        <w:rPr>
          <w:b/>
          <w:lang w:val="en-US"/>
        </w:rPr>
        <w:t xml:space="preserve"> </w:t>
      </w:r>
      <w:r w:rsidRPr="005D6DA7">
        <w:rPr>
          <w:lang w:val="en-US"/>
        </w:rPr>
        <w:t>We expect the learner</w:t>
      </w:r>
      <w:r w:rsidR="00443E6F" w:rsidRPr="005D6DA7">
        <w:rPr>
          <w:lang w:val="en-US"/>
        </w:rPr>
        <w:t>s</w:t>
      </w:r>
      <w:r w:rsidRPr="005D6DA7">
        <w:rPr>
          <w:lang w:val="en-US"/>
        </w:rPr>
        <w:t xml:space="preserve"> to write minimum one well expressed point in</w:t>
      </w:r>
      <w:r w:rsidR="00443E6F" w:rsidRPr="005D6DA7">
        <w:rPr>
          <w:lang w:val="en-US"/>
        </w:rPr>
        <w:t xml:space="preserve"> </w:t>
      </w:r>
      <w:r w:rsidRPr="005D6DA7">
        <w:rPr>
          <w:lang w:val="en-US"/>
        </w:rPr>
        <w:t>three lines</w:t>
      </w:r>
      <w:r w:rsidR="00443E6F" w:rsidRPr="005D6DA7">
        <w:rPr>
          <w:lang w:val="en-US"/>
        </w:rPr>
        <w:t xml:space="preserve"> against each allocated mark. This means one need</w:t>
      </w:r>
      <w:r w:rsidR="009E41F4" w:rsidRPr="005D6DA7">
        <w:rPr>
          <w:lang w:val="en-US"/>
        </w:rPr>
        <w:t>s</w:t>
      </w:r>
      <w:r w:rsidR="00443E6F" w:rsidRPr="005D6DA7">
        <w:rPr>
          <w:lang w:val="en-US"/>
        </w:rPr>
        <w:t xml:space="preserve"> to write 15 lines with </w:t>
      </w:r>
      <w:r w:rsidR="00402786" w:rsidRPr="005D6DA7">
        <w:rPr>
          <w:lang w:val="en-US"/>
        </w:rPr>
        <w:t>5 well expressed</w:t>
      </w:r>
      <w:r w:rsidR="00443E6F" w:rsidRPr="005D6DA7">
        <w:rPr>
          <w:lang w:val="en-US"/>
        </w:rPr>
        <w:t xml:space="preserve"> points to get high grades for a 5 marks question.</w:t>
      </w:r>
    </w:p>
    <w:p w:rsidR="00527C11" w:rsidRPr="005D6DA7" w:rsidRDefault="00687EE8" w:rsidP="00A851DA">
      <w:pPr>
        <w:rPr>
          <w:lang w:val="en-US"/>
        </w:rPr>
      </w:pPr>
      <w:r w:rsidRPr="005D6DA7">
        <w:rPr>
          <w:lang w:val="en-US"/>
        </w:rPr>
        <w:t xml:space="preserve">For high grades use </w:t>
      </w:r>
      <w:r w:rsidR="00527C11" w:rsidRPr="005D6DA7">
        <w:rPr>
          <w:lang w:val="en-US"/>
        </w:rPr>
        <w:t xml:space="preserve">examples and illustrations </w:t>
      </w:r>
      <w:r w:rsidR="00443E6F" w:rsidRPr="005D6DA7">
        <w:rPr>
          <w:lang w:val="en-US"/>
        </w:rPr>
        <w:t>where appropriate</w:t>
      </w:r>
      <w:r w:rsidRPr="005D6DA7">
        <w:rPr>
          <w:lang w:val="en-US"/>
        </w:rPr>
        <w:t>.</w:t>
      </w:r>
      <w:r w:rsidR="00443E6F" w:rsidRPr="005D6DA7">
        <w:rPr>
          <w:lang w:val="en-US"/>
        </w:rPr>
        <w:t xml:space="preserve"> </w:t>
      </w:r>
    </w:p>
    <w:tbl>
      <w:tblPr>
        <w:tblStyle w:val="TableGrid"/>
        <w:tblW w:w="0" w:type="auto"/>
        <w:tblLayout w:type="fixed"/>
        <w:tblLook w:val="04A0" w:firstRow="1" w:lastRow="0" w:firstColumn="1" w:lastColumn="0" w:noHBand="0" w:noVBand="1"/>
      </w:tblPr>
      <w:tblGrid>
        <w:gridCol w:w="9242"/>
      </w:tblGrid>
      <w:tr w:rsidR="00CC2FB3" w:rsidRPr="005D6DA7" w:rsidTr="00463386">
        <w:tc>
          <w:tcPr>
            <w:tcW w:w="9242" w:type="dxa"/>
          </w:tcPr>
          <w:p w:rsidR="0056096B" w:rsidRPr="0056096B" w:rsidRDefault="0056096B" w:rsidP="0056096B">
            <w:pPr>
              <w:autoSpaceDE w:val="0"/>
              <w:autoSpaceDN w:val="0"/>
              <w:adjustRightInd w:val="0"/>
              <w:jc w:val="both"/>
              <w:rPr>
                <w:rFonts w:asciiTheme="minorBidi" w:hAnsiTheme="minorBidi"/>
                <w:lang w:val="en-GB"/>
              </w:rPr>
            </w:pP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xml:space="preserve">i. The best evidence simply means the original evidence, all evidences submitted to the court of low must be original document, in case of absence of the original document, or a copy of that document has been submitted, an explanation or a clarification by the investigator should be declared, and reasons of not submitting the originals should be explained. </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(The best evidence rule deals with written documents proffered as evidence. The rule requires that the original, if available, and not a copy thereof, be presented at a trial. If the original was destroyed or is in the hands of an opposite party and not subject to legal process by search warrant or subpoena, an authenticated copy may be substituted. Business records and documents kept in the ordinary course of business may be presented as evidence too, even if the person who made the entries or prepared the documents is unavailable.)</w:t>
            </w:r>
          </w:p>
          <w:p w:rsidR="00261B95" w:rsidRPr="00261B95" w:rsidRDefault="00261B95" w:rsidP="00261B95">
            <w:pPr>
              <w:autoSpaceDE w:val="0"/>
              <w:autoSpaceDN w:val="0"/>
              <w:adjustRightInd w:val="0"/>
              <w:spacing w:line="360" w:lineRule="auto"/>
              <w:jc w:val="both"/>
              <w:rPr>
                <w:rFonts w:asciiTheme="minorBidi" w:hAnsiTheme="minorBidi"/>
                <w:i/>
                <w:iCs/>
                <w:sz w:val="24"/>
                <w:szCs w:val="24"/>
                <w:lang w:val="en-GB"/>
              </w:rPr>
            </w:pPr>
            <w:r w:rsidRPr="00261B95">
              <w:rPr>
                <w:rFonts w:asciiTheme="minorBidi" w:hAnsiTheme="minorBidi"/>
                <w:i/>
                <w:iCs/>
                <w:sz w:val="24"/>
                <w:szCs w:val="24"/>
                <w:lang w:val="en-GB"/>
              </w:rPr>
              <w:t>‘’Fraud Auditing and Forensic Accounting’’, 4</w:t>
            </w:r>
            <w:r w:rsidRPr="00261B95">
              <w:rPr>
                <w:rFonts w:asciiTheme="minorBidi" w:hAnsiTheme="minorBidi"/>
                <w:i/>
                <w:iCs/>
                <w:sz w:val="24"/>
                <w:szCs w:val="24"/>
                <w:vertAlign w:val="superscript"/>
                <w:lang w:val="en-GB"/>
              </w:rPr>
              <w:t>th</w:t>
            </w:r>
            <w:r w:rsidRPr="00261B95">
              <w:rPr>
                <w:rFonts w:asciiTheme="minorBidi" w:hAnsiTheme="minorBidi"/>
                <w:i/>
                <w:iCs/>
                <w:sz w:val="24"/>
                <w:szCs w:val="24"/>
                <w:lang w:val="en-GB"/>
              </w:rPr>
              <w:t xml:space="preserve"> edition, T</w:t>
            </w:r>
            <w:proofErr w:type="spellStart"/>
            <w:r>
              <w:rPr>
                <w:rFonts w:asciiTheme="minorBidi" w:hAnsiTheme="minorBidi"/>
                <w:i/>
                <w:iCs/>
                <w:sz w:val="24"/>
                <w:szCs w:val="24"/>
              </w:rPr>
              <w:t>ommie</w:t>
            </w:r>
            <w:proofErr w:type="spellEnd"/>
            <w:r w:rsidRPr="00261B95">
              <w:rPr>
                <w:rFonts w:asciiTheme="minorBidi" w:hAnsiTheme="minorBidi"/>
                <w:i/>
                <w:iCs/>
                <w:sz w:val="24"/>
                <w:szCs w:val="24"/>
                <w:lang w:val="en-GB"/>
              </w:rPr>
              <w:t xml:space="preserve"> W. S</w:t>
            </w:r>
            <w:proofErr w:type="spellStart"/>
            <w:r>
              <w:rPr>
                <w:rFonts w:asciiTheme="minorBidi" w:hAnsiTheme="minorBidi"/>
                <w:i/>
                <w:iCs/>
                <w:sz w:val="24"/>
                <w:szCs w:val="24"/>
              </w:rPr>
              <w:t>ingleton</w:t>
            </w:r>
            <w:proofErr w:type="spellEnd"/>
            <w:r w:rsidRPr="00261B95">
              <w:rPr>
                <w:rFonts w:asciiTheme="minorBidi" w:hAnsiTheme="minorBidi"/>
                <w:i/>
                <w:iCs/>
                <w:sz w:val="24"/>
                <w:szCs w:val="24"/>
                <w:lang w:val="en-GB"/>
              </w:rPr>
              <w:t xml:space="preserve"> &amp; A</w:t>
            </w:r>
            <w:proofErr w:type="spellStart"/>
            <w:r>
              <w:rPr>
                <w:rFonts w:asciiTheme="minorBidi" w:hAnsiTheme="minorBidi"/>
                <w:i/>
                <w:iCs/>
                <w:sz w:val="24"/>
                <w:szCs w:val="24"/>
              </w:rPr>
              <w:t>aron</w:t>
            </w:r>
            <w:proofErr w:type="spellEnd"/>
            <w:r w:rsidRPr="00261B95">
              <w:rPr>
                <w:rFonts w:asciiTheme="minorBidi" w:hAnsiTheme="minorBidi"/>
                <w:i/>
                <w:iCs/>
                <w:sz w:val="24"/>
                <w:szCs w:val="24"/>
                <w:lang w:val="en-GB"/>
              </w:rPr>
              <w:t xml:space="preserve"> J. S</w:t>
            </w:r>
            <w:proofErr w:type="spellStart"/>
            <w:r>
              <w:rPr>
                <w:rFonts w:asciiTheme="minorBidi" w:hAnsiTheme="minorBidi"/>
                <w:i/>
                <w:iCs/>
                <w:sz w:val="24"/>
                <w:szCs w:val="24"/>
              </w:rPr>
              <w:t>ingleton</w:t>
            </w:r>
            <w:proofErr w:type="spellEnd"/>
          </w:p>
          <w:p w:rsidR="00261B95" w:rsidRPr="00261B95" w:rsidRDefault="00261B95" w:rsidP="00261B95">
            <w:pPr>
              <w:autoSpaceDE w:val="0"/>
              <w:autoSpaceDN w:val="0"/>
              <w:adjustRightInd w:val="0"/>
              <w:spacing w:line="360" w:lineRule="auto"/>
              <w:jc w:val="both"/>
              <w:rPr>
                <w:rFonts w:asciiTheme="minorBidi" w:hAnsiTheme="minorBidi"/>
                <w:i/>
                <w:iCs/>
                <w:sz w:val="24"/>
                <w:szCs w:val="24"/>
                <w:lang w:val="en-GB"/>
              </w:rPr>
            </w:pP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xml:space="preserve">ii. There is always a possibility of information overload as financial crime investigations involve more documentation and greater collection of records than any </w:t>
            </w:r>
            <w:r w:rsidRPr="00261B95">
              <w:rPr>
                <w:rFonts w:asciiTheme="minorBidi" w:hAnsiTheme="minorBidi"/>
                <w:sz w:val="24"/>
                <w:szCs w:val="24"/>
                <w:lang w:val="en-GB"/>
              </w:rPr>
              <w:lastRenderedPageBreak/>
              <w:t>other type of investigation. This also results in an increased risk of loss or destruction. Therefore, it is all the more important to have an efficient system of organization.</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xml:space="preserve">(Financial crime investigations result in more records and documents than perhaps any other type of case. The danger in this is the possibility of information overload. Coupled with this overload is the increased probability of loss and destruction. The existence of these dangers requires a very robust system of organization.) </w:t>
            </w:r>
          </w:p>
          <w:p w:rsidR="00261B95" w:rsidRPr="00261B95" w:rsidRDefault="00261B95" w:rsidP="00261B95">
            <w:pPr>
              <w:autoSpaceDE w:val="0"/>
              <w:autoSpaceDN w:val="0"/>
              <w:adjustRightInd w:val="0"/>
              <w:spacing w:line="360" w:lineRule="auto"/>
              <w:jc w:val="both"/>
              <w:rPr>
                <w:rFonts w:asciiTheme="minorBidi" w:hAnsiTheme="minorBidi"/>
                <w:i/>
                <w:iCs/>
                <w:sz w:val="24"/>
                <w:szCs w:val="24"/>
                <w:lang w:val="en-GB"/>
              </w:rPr>
            </w:pPr>
            <w:r w:rsidRPr="00261B95">
              <w:rPr>
                <w:rFonts w:asciiTheme="minorBidi" w:hAnsiTheme="minorBidi"/>
                <w:i/>
                <w:iCs/>
                <w:sz w:val="24"/>
                <w:szCs w:val="24"/>
                <w:lang w:val="en-GB"/>
              </w:rPr>
              <w:t>‘’Forensic Accounting and Fraud Investigation for Non-Experts’’, 2</w:t>
            </w:r>
            <w:r w:rsidRPr="00261B95">
              <w:rPr>
                <w:rFonts w:asciiTheme="minorBidi" w:hAnsiTheme="minorBidi"/>
                <w:i/>
                <w:iCs/>
                <w:sz w:val="24"/>
                <w:szCs w:val="24"/>
                <w:vertAlign w:val="superscript"/>
                <w:lang w:val="en-GB"/>
              </w:rPr>
              <w:t>nd</w:t>
            </w:r>
            <w:r w:rsidRPr="00261B95">
              <w:rPr>
                <w:rFonts w:asciiTheme="minorBidi" w:hAnsiTheme="minorBidi"/>
                <w:i/>
                <w:iCs/>
                <w:sz w:val="24"/>
                <w:szCs w:val="24"/>
                <w:lang w:val="en-GB"/>
              </w:rPr>
              <w:t xml:space="preserve"> edition, Howard Silverstone &amp; Michael </w:t>
            </w:r>
            <w:proofErr w:type="spellStart"/>
            <w:r w:rsidRPr="00261B95">
              <w:rPr>
                <w:rFonts w:asciiTheme="minorBidi" w:hAnsiTheme="minorBidi"/>
                <w:i/>
                <w:iCs/>
                <w:sz w:val="24"/>
                <w:szCs w:val="24"/>
                <w:lang w:val="en-GB"/>
              </w:rPr>
              <w:t>Sheetz</w:t>
            </w:r>
            <w:proofErr w:type="spellEnd"/>
            <w:r w:rsidRPr="00261B95">
              <w:rPr>
                <w:rFonts w:asciiTheme="minorBidi" w:hAnsiTheme="minorBidi"/>
                <w:i/>
                <w:iCs/>
                <w:sz w:val="24"/>
                <w:szCs w:val="24"/>
                <w:lang w:val="en-GB"/>
              </w:rPr>
              <w:t>.</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iii. Below is a list of some devices that can be used and help collecting evidence :</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Personal computers.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Network servers.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Wireless and cordless telephones.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PDAs and BlackBerry devices.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Answering machines.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Paging devices.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Caller ID devices.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Digital cameras.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Facsimile machines.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Printers.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Scanners.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ID card printers.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Copiers.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Compact disc duplicators.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Smart cards/magnetic stripe cards.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Security systems.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Global positioning systems.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Electronic gaming devices.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Vehicle computer devices.</w:t>
            </w:r>
          </w:p>
          <w:p w:rsidR="00261B95" w:rsidRPr="00261B95" w:rsidRDefault="00261B95" w:rsidP="00261B95">
            <w:pPr>
              <w:pStyle w:val="ListParagraph"/>
              <w:numPr>
                <w:ilvl w:val="0"/>
                <w:numId w:val="14"/>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Storage media.</w:t>
            </w:r>
          </w:p>
          <w:p w:rsidR="00261B95" w:rsidRPr="00261B95" w:rsidRDefault="00261B95" w:rsidP="00261B95">
            <w:pPr>
              <w:autoSpaceDE w:val="0"/>
              <w:autoSpaceDN w:val="0"/>
              <w:adjustRightInd w:val="0"/>
              <w:spacing w:line="360" w:lineRule="auto"/>
              <w:ind w:left="360"/>
              <w:jc w:val="both"/>
              <w:rPr>
                <w:rFonts w:asciiTheme="minorBidi" w:hAnsiTheme="minorBidi"/>
                <w:sz w:val="24"/>
                <w:szCs w:val="24"/>
                <w:lang w:val="en-GB"/>
              </w:rPr>
            </w:pP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xml:space="preserve">iv. Planning consideration is one of the three critical steps in gathering </w:t>
            </w:r>
            <w:r w:rsidR="007D6716" w:rsidRPr="00261B95">
              <w:rPr>
                <w:rFonts w:asciiTheme="minorBidi" w:hAnsiTheme="minorBidi"/>
                <w:sz w:val="24"/>
                <w:szCs w:val="24"/>
                <w:lang w:val="en-GB"/>
              </w:rPr>
              <w:t>evidence;</w:t>
            </w:r>
            <w:r w:rsidRPr="00261B95">
              <w:rPr>
                <w:rFonts w:asciiTheme="minorBidi" w:hAnsiTheme="minorBidi"/>
                <w:sz w:val="24"/>
                <w:szCs w:val="24"/>
                <w:lang w:val="en-GB"/>
              </w:rPr>
              <w:t xml:space="preserve"> the </w:t>
            </w:r>
            <w:r w:rsidRPr="00261B95">
              <w:rPr>
                <w:rFonts w:asciiTheme="minorBidi" w:hAnsiTheme="minorBidi"/>
                <w:sz w:val="24"/>
                <w:szCs w:val="24"/>
                <w:lang w:val="en-GB"/>
              </w:rPr>
              <w:lastRenderedPageBreak/>
              <w:t>plan will indicate the scope of the investigation and will be a helpful tool to prove that the documents sought were relevant to the investigation. It will also help avoid unnecessary hoarding of information, which may include different types of documents, from various witnesses, stored at different locations.</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Prior to planning for the evidence gathering process, investigator should check on and consider the following points:</w:t>
            </w:r>
          </w:p>
          <w:p w:rsidR="00261B95" w:rsidRP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Reviewing the client’s policies on record retention and ensuring compliance.</w:t>
            </w:r>
          </w:p>
          <w:p w:rsidR="00261B95" w:rsidRP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Visiting storage locations for paper records off and on site.</w:t>
            </w:r>
          </w:p>
          <w:p w:rsidR="00261B95" w:rsidRP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Reviewing the technology used for transaction records, such as customer and vendor invoices, contracts, etc.</w:t>
            </w:r>
          </w:p>
          <w:p w:rsidR="00261B95" w:rsidRP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Ensuring the existence and storage of employee files.</w:t>
            </w:r>
          </w:p>
          <w:p w:rsidR="00261B95" w:rsidRP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Checking whether there are any files at the employees’ homes or in their personal computers.</w:t>
            </w:r>
          </w:p>
          <w:p w:rsidR="00261B95" w:rsidRP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Checking the file retention practices at various corporate locations, as they may differ significantly from one location to another.</w:t>
            </w:r>
          </w:p>
          <w:p w:rsidR="00261B95" w:rsidRP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Analysing the organizational hierarchy and knowing who reports to whom.</w:t>
            </w:r>
          </w:p>
          <w:p w:rsidR="00261B95" w:rsidRP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Checking the medium of storage for computerized records on and off site.</w:t>
            </w:r>
          </w:p>
          <w:p w:rsidR="00261B95" w:rsidRP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Reviewing the company’s back-up procedures that are used for employees’ computers and emails, knowing when back-ups occur, how much information is lost and how much is retained, and which information is retained on servers and which on individual hard drives.</w:t>
            </w:r>
          </w:p>
          <w:p w:rsidR="00261B95" w:rsidRP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Checking whether any records are retained by or about former employees of the organization.</w:t>
            </w:r>
          </w:p>
          <w:p w:rsidR="00261B95" w:rsidRP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Analysing system changes that have occurred in the company’s accounting systems or e-mail systems.</w:t>
            </w:r>
          </w:p>
          <w:p w:rsidR="00261B95" w:rsidRP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Reviewing documents related to corporate functions that have been outsourced, such as payroll and internal audit.</w:t>
            </w:r>
          </w:p>
          <w:p w:rsidR="00261B95" w:rsidRDefault="00261B95" w:rsidP="00261B95">
            <w:pPr>
              <w:pStyle w:val="ListParagraph"/>
              <w:numPr>
                <w:ilvl w:val="0"/>
                <w:numId w:val="15"/>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Creating a written plan for the collection of documents in order to give the investigation a clear direction and focus.</w:t>
            </w:r>
          </w:p>
          <w:p w:rsidR="00261B95" w:rsidRPr="00261B95" w:rsidRDefault="00261B95" w:rsidP="00261B95">
            <w:pPr>
              <w:pStyle w:val="ListParagraph"/>
              <w:autoSpaceDE w:val="0"/>
              <w:autoSpaceDN w:val="0"/>
              <w:adjustRightInd w:val="0"/>
              <w:spacing w:line="360" w:lineRule="auto"/>
              <w:jc w:val="both"/>
              <w:rPr>
                <w:rFonts w:asciiTheme="minorBidi" w:hAnsiTheme="minorBidi" w:cstheme="minorBidi"/>
                <w:sz w:val="24"/>
                <w:szCs w:val="24"/>
                <w:lang w:val="en-GB"/>
              </w:rPr>
            </w:pP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xml:space="preserve">v. A forensic accountant produces summaries and analyses of factual material. The kind of material and documents included in the working papers differs from one investigation to another, depending on the nature of the investigation. The following </w:t>
            </w:r>
            <w:r w:rsidRPr="00261B95">
              <w:rPr>
                <w:rFonts w:asciiTheme="minorBidi" w:hAnsiTheme="minorBidi"/>
                <w:sz w:val="24"/>
                <w:szCs w:val="24"/>
                <w:lang w:val="en-GB"/>
              </w:rPr>
              <w:lastRenderedPageBreak/>
              <w:t>is a list of typical documents that comprise working papers:</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Accounting records and other documents: This category includes all possible accounting records such as general ledgers, sub-ledgers, financial management reports, reconciliations, journal entries, internal audit reports, purchase orders, vendor information, accounting journals, management reports, contracts, telephone, computer system and security system records, desk files, e-mails, websites, and any other accounting record or document.</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Public record searches: The information gathered through public record searches can be diverse and may include newspaper articles, hobbies and interests, investments, philanthropic work, online chat room discussions, etc.</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Electronic computer files: These include</w:t>
            </w:r>
            <w:r>
              <w:rPr>
                <w:rFonts w:asciiTheme="minorBidi" w:hAnsiTheme="minorBidi"/>
                <w:sz w:val="24"/>
                <w:szCs w:val="24"/>
                <w:lang w:val="en-GB"/>
              </w:rPr>
              <w:t xml:space="preserve"> </w:t>
            </w:r>
            <w:r w:rsidRPr="00261B95">
              <w:rPr>
                <w:rFonts w:asciiTheme="minorBidi" w:hAnsiTheme="minorBidi"/>
                <w:sz w:val="24"/>
                <w:szCs w:val="24"/>
                <w:lang w:val="en-GB"/>
              </w:rPr>
              <w:t>e-mails (forwarded e-mails, senders, recipients, etc.), computer files, any data stored in handheld digital recorders, etc.</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Photographs or digital photos, preferably with a date/time stamp.</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Documentation specifying chain of custody.</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Interview notes and audio recordings. These are notes taken by the investigation team during interviews conducted with witnesses, suspects and other personnel.</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Third-party information. This is information or data provided by interested third parties such as counsel, external auditors, etc. This information may be in the form of audit reports, management letters, bank statements, cancelled cheques, bank advice, or any other banking documents, records related to non-audit services, documents acquired through warrants or subpoenas, etc.</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Court pleadings and deposition transcripts.</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vi. Below outlined the main three steps or consideration involved in evidence gathering process, also see fig.6.1, these considerations are critical to the process of gathering evidence, they include Document Retention, Planning and Creating a Chain of Custody.</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xml:space="preserve">A)  Document Retention Considerations: </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Considering forensic accounting investigations’ heavy reliance on documentary proof, document retention and preservation are tasks of the utmost importance. Many points must be borne in mind, and it is advisable to hire a counsel to discuss the complications.</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xml:space="preserve">Due to the huge volume of files and documents will be reviewed during the </w:t>
            </w:r>
            <w:r w:rsidRPr="00261B95">
              <w:rPr>
                <w:rFonts w:asciiTheme="minorBidi" w:hAnsiTheme="minorBidi"/>
                <w:sz w:val="24"/>
                <w:szCs w:val="24"/>
                <w:lang w:val="en-GB"/>
              </w:rPr>
              <w:lastRenderedPageBreak/>
              <w:t xml:space="preserve">investigation; investigators must decide which, out of all these documents, should be retained. There are certain circumstances, however, that require all documents and electronic files to be retained. </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B) Planning Considerations:</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A plan will indicate the scope of the investigation and be a helpful tool to prove that the documents sought were relevant to the investigation. It will also avoid unnecessary hoarding of information, which may include different types of documents, from various witnesses, stored at different locations.</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xml:space="preserve">It is usually important to meet up with clients, depending on the nature of the investigation, in order to discuss the type of evidence that may be required and to locate the evidence relating to the time period under scrutiny. </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C) Creating a Chain of Custody:</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The chain of custody serves as proof that the evidence has been properly preserved from alteration and damage from the time when it was collected to its presentation. It signifies to the court or regulatory body in front of which the evidence is being presented that it has probative value. Therefore, the investigator should discuss the level of detailed record-keeping required to establish a chain of custody with counsel and the client before gathering the evidence.</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p>
          <w:p w:rsidR="00261B95" w:rsidRPr="00261B95" w:rsidRDefault="00261B95" w:rsidP="00261B95">
            <w:pPr>
              <w:autoSpaceDE w:val="0"/>
              <w:autoSpaceDN w:val="0"/>
              <w:adjustRightInd w:val="0"/>
              <w:spacing w:line="360" w:lineRule="auto"/>
              <w:jc w:val="both"/>
              <w:rPr>
                <w:rFonts w:asciiTheme="minorBidi" w:hAnsiTheme="minorBidi"/>
                <w:color w:val="FF0000"/>
                <w:sz w:val="24"/>
                <w:szCs w:val="24"/>
                <w:lang w:val="en-GB"/>
              </w:rPr>
            </w:pPr>
            <w:r w:rsidRPr="00261B95">
              <w:rPr>
                <w:rFonts w:asciiTheme="minorBidi" w:hAnsiTheme="minorBidi"/>
                <w:noProof/>
                <w:sz w:val="24"/>
                <w:szCs w:val="24"/>
                <w:lang w:eastAsia="en-GB"/>
              </w:rPr>
              <w:drawing>
                <wp:inline distT="0" distB="0" distL="0" distR="0" wp14:anchorId="2DF3E116" wp14:editId="000EE42F">
                  <wp:extent cx="5600700" cy="33220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6680" cy="3325635"/>
                          </a:xfrm>
                          <a:prstGeom prst="rect">
                            <a:avLst/>
                          </a:prstGeom>
                          <a:noFill/>
                          <a:ln>
                            <a:noFill/>
                          </a:ln>
                        </pic:spPr>
                      </pic:pic>
                    </a:graphicData>
                  </a:graphic>
                </wp:inline>
              </w:drawing>
            </w:r>
          </w:p>
          <w:p w:rsidR="00261B95" w:rsidRPr="00261B95" w:rsidRDefault="00261B95" w:rsidP="00261B95">
            <w:pPr>
              <w:autoSpaceDE w:val="0"/>
              <w:autoSpaceDN w:val="0"/>
              <w:adjustRightInd w:val="0"/>
              <w:spacing w:line="360" w:lineRule="auto"/>
              <w:jc w:val="both"/>
              <w:rPr>
                <w:rFonts w:asciiTheme="minorBidi" w:hAnsiTheme="minorBidi"/>
                <w:color w:val="FF0000"/>
                <w:sz w:val="24"/>
                <w:szCs w:val="24"/>
                <w:lang w:val="en-GB"/>
              </w:rPr>
            </w:pP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lastRenderedPageBreak/>
              <w:t xml:space="preserve">vii. During a well-planned evidence gathering process, investigator may collect a variety of useful documents that help proof or disproof his/her case. These documents may vary from a Signed statement to an E-mail. Flexibility in gathering different types of documents is a result of the business nature and each case specific feature. </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Signed statements, Transactional paperwork, Intranet sources and E-mails are types of documents to be gathered as evidence, investigator flexibility is needed as each case has its specific circumstances and required document to be gathered.</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(Even though this list is not exhaustive, it is a good place to begin. As we mentioned, the record-keeping systems and paper trails generated will differ from business to business. However, preplanning and intelligence gathering should serve as a guide to knowing exactly what you are looking for. Whether the suspect religiously uses e-mail, or simply sends out traditional paper memos, both can be valuable sources of evidence. The key is remaining flexible, and tailoring your search to the specific circumstances of each business.)</w:t>
            </w:r>
          </w:p>
          <w:p w:rsidR="00261B95" w:rsidRPr="00261B95" w:rsidRDefault="00261B95" w:rsidP="00261B95">
            <w:pPr>
              <w:autoSpaceDE w:val="0"/>
              <w:autoSpaceDN w:val="0"/>
              <w:adjustRightInd w:val="0"/>
              <w:spacing w:line="360" w:lineRule="auto"/>
              <w:jc w:val="both"/>
              <w:rPr>
                <w:rFonts w:asciiTheme="minorBidi" w:hAnsiTheme="minorBidi"/>
                <w:i/>
                <w:iCs/>
                <w:sz w:val="24"/>
                <w:szCs w:val="24"/>
                <w:lang w:val="en-GB"/>
              </w:rPr>
            </w:pPr>
            <w:r w:rsidRPr="00261B95">
              <w:rPr>
                <w:rFonts w:asciiTheme="minorBidi" w:hAnsiTheme="minorBidi"/>
                <w:i/>
                <w:iCs/>
                <w:sz w:val="24"/>
                <w:szCs w:val="24"/>
                <w:lang w:val="en-GB"/>
              </w:rPr>
              <w:t>‘’Forensic Accounting and Fraud Investigation for Non-Experts’’, 2</w:t>
            </w:r>
            <w:r w:rsidRPr="00261B95">
              <w:rPr>
                <w:rFonts w:asciiTheme="minorBidi" w:hAnsiTheme="minorBidi"/>
                <w:i/>
                <w:iCs/>
                <w:sz w:val="24"/>
                <w:szCs w:val="24"/>
                <w:vertAlign w:val="superscript"/>
                <w:lang w:val="en-GB"/>
              </w:rPr>
              <w:t>nd</w:t>
            </w:r>
            <w:r w:rsidRPr="00261B95">
              <w:rPr>
                <w:rFonts w:asciiTheme="minorBidi" w:hAnsiTheme="minorBidi"/>
                <w:i/>
                <w:iCs/>
                <w:sz w:val="24"/>
                <w:szCs w:val="24"/>
                <w:lang w:val="en-GB"/>
              </w:rPr>
              <w:t xml:space="preserve"> edition, Howard Silverstone &amp; Michael </w:t>
            </w:r>
            <w:proofErr w:type="spellStart"/>
            <w:r w:rsidRPr="00261B95">
              <w:rPr>
                <w:rFonts w:asciiTheme="minorBidi" w:hAnsiTheme="minorBidi"/>
                <w:i/>
                <w:iCs/>
                <w:sz w:val="24"/>
                <w:szCs w:val="24"/>
                <w:lang w:val="en-GB"/>
              </w:rPr>
              <w:t>Sheetz</w:t>
            </w:r>
            <w:proofErr w:type="spellEnd"/>
            <w:r w:rsidRPr="00261B95">
              <w:rPr>
                <w:rFonts w:asciiTheme="minorBidi" w:hAnsiTheme="minorBidi"/>
                <w:i/>
                <w:iCs/>
                <w:sz w:val="24"/>
                <w:szCs w:val="24"/>
                <w:lang w:val="en-GB"/>
              </w:rPr>
              <w:t>.</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Documentary evidence sources can be divided into three broad categories:</w:t>
            </w:r>
          </w:p>
          <w:p w:rsidR="00261B95" w:rsidRPr="00261B95" w:rsidRDefault="00261B95" w:rsidP="00261B95">
            <w:pPr>
              <w:pStyle w:val="ListParagraph"/>
              <w:numPr>
                <w:ilvl w:val="0"/>
                <w:numId w:val="16"/>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The victim of the financial crime is the first place where investigators should look.</w:t>
            </w:r>
          </w:p>
          <w:p w:rsidR="00261B95" w:rsidRPr="00261B95" w:rsidRDefault="00261B95" w:rsidP="00261B95">
            <w:pPr>
              <w:pStyle w:val="ListParagraph"/>
              <w:numPr>
                <w:ilvl w:val="0"/>
                <w:numId w:val="16"/>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A Third party who may have access to or possess documentary evidence.</w:t>
            </w:r>
          </w:p>
          <w:p w:rsidR="00261B95" w:rsidRPr="00261B95" w:rsidRDefault="00261B95" w:rsidP="00261B95">
            <w:pPr>
              <w:pStyle w:val="ListParagraph"/>
              <w:numPr>
                <w:ilvl w:val="0"/>
                <w:numId w:val="16"/>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Suspect</w:t>
            </w:r>
            <w:proofErr w:type="gramStart"/>
            <w:r w:rsidRPr="00261B95">
              <w:rPr>
                <w:rFonts w:asciiTheme="minorBidi" w:hAnsiTheme="minorBidi" w:cstheme="minorBidi"/>
                <w:sz w:val="24"/>
                <w:szCs w:val="24"/>
                <w:lang w:val="en-GB"/>
              </w:rPr>
              <w:t>,</w:t>
            </w:r>
            <w:proofErr w:type="gramEnd"/>
            <w:r w:rsidRPr="00261B95">
              <w:rPr>
                <w:rFonts w:asciiTheme="minorBidi" w:hAnsiTheme="minorBidi" w:cstheme="minorBidi"/>
                <w:sz w:val="24"/>
                <w:szCs w:val="24"/>
                <w:lang w:val="en-GB"/>
              </w:rPr>
              <w:t xml:space="preserve"> the investigators should look for evidence possessed by the suspect.</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xml:space="preserve"> </w:t>
            </w:r>
            <w:bookmarkStart w:id="0" w:name="_GoBack"/>
            <w:bookmarkEnd w:id="0"/>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2. Evidence determines whether an allegation is proved or disproved. For example, if a forensic accountant receives a bank statement showing that the suspect’s bank account has increased significantly in the last few months, this will constitute evidence indicating that the suspect may have been involved in a profitable activity. In other words, such evidence may reinforce allegations of fraud. Evidence should be admissible in a court of law as it proves or supports a fact. Proof is different from evidence because evidence results in the emergence of proof.</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xml:space="preserve">Inferences or Presumptions lead to classify evidence as direct evidence or circumstantial evidence: </w:t>
            </w:r>
          </w:p>
          <w:p w:rsidR="00261B95" w:rsidRPr="00261B95" w:rsidRDefault="00261B95" w:rsidP="00261B95">
            <w:pPr>
              <w:pStyle w:val="ListParagraph"/>
              <w:numPr>
                <w:ilvl w:val="0"/>
                <w:numId w:val="19"/>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lastRenderedPageBreak/>
              <w:t>Direct evidence is evidence that proves a fact without making any inferences or presumptions. In short, those who have direct knowledge (i.e. they have heard it, seen it, or were directly involved in it) of the fact swear of its existence. This may take the form of confessions obtained in a court of law or during the course of investigation.</w:t>
            </w:r>
          </w:p>
          <w:p w:rsidR="00261B95" w:rsidRPr="00261B95" w:rsidRDefault="00261B95" w:rsidP="00261B95">
            <w:pPr>
              <w:pStyle w:val="ListParagraph"/>
              <w:numPr>
                <w:ilvl w:val="0"/>
                <w:numId w:val="19"/>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 xml:space="preserve">Circumstantial evidence is evidence that proves a fact through inferences or presumptions. It means having to prove several supporting facts and then analysing them in relation to one another in order to prove that the ultimate fact in question exists. Circumstantial evidence is admissible in a court of law. Proving the suspect’s wilful intent can be categorized as circumstantial evidence. This kind of evidence is normally used for crimes involving malice, motive, intent, etc., or more simply put, to prove something that exists in the mind of the perpetrator. It is usually considered to be as important as direct evidence and its significance may sometimes even outweigh that of conflicting direct evidence. </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The ‘’Best Evidence‘’ rule produces another classification of the evidence:</w:t>
            </w:r>
          </w:p>
          <w:p w:rsidR="00261B95" w:rsidRPr="00261B95" w:rsidRDefault="00261B95" w:rsidP="00261B95">
            <w:pPr>
              <w:pStyle w:val="ListParagraph"/>
              <w:numPr>
                <w:ilvl w:val="0"/>
                <w:numId w:val="18"/>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Primary Evidence: The original or a certified true copy of the original document, it is the best evidence.</w:t>
            </w:r>
          </w:p>
          <w:p w:rsidR="00261B95" w:rsidRPr="00261B95" w:rsidRDefault="00261B95" w:rsidP="00261B95">
            <w:pPr>
              <w:pStyle w:val="ListParagraph"/>
              <w:numPr>
                <w:ilvl w:val="0"/>
                <w:numId w:val="18"/>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Secondary Evidence: Admissible in the court of low, but a satisfactorily explanation is required to clarify the absence of the original document.</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Evidence is also categorized as oral, documentary, and real.</w:t>
            </w:r>
          </w:p>
          <w:p w:rsidR="00261B95" w:rsidRPr="00261B95" w:rsidRDefault="00261B95" w:rsidP="00261B95">
            <w:pPr>
              <w:pStyle w:val="ListParagraph"/>
              <w:numPr>
                <w:ilvl w:val="0"/>
                <w:numId w:val="17"/>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Oral evidence involves witness accounts and presentation during submission of records and physical objects. Witness testimony includes oral statements by the witness delivered under oath.</w:t>
            </w:r>
          </w:p>
          <w:p w:rsidR="00261B95" w:rsidRPr="00261B95" w:rsidRDefault="00261B95" w:rsidP="00261B95">
            <w:pPr>
              <w:pStyle w:val="ListParagraph"/>
              <w:numPr>
                <w:ilvl w:val="0"/>
                <w:numId w:val="17"/>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Documentary evidence includes written material such as judicial records, official documents, contracts, deeds, letters, memoranda, private diaries, maps, photographs, diagrams, and any other official or private writing.</w:t>
            </w:r>
          </w:p>
          <w:p w:rsidR="00261B95" w:rsidRPr="00261B95" w:rsidRDefault="00261B95" w:rsidP="00261B95">
            <w:pPr>
              <w:pStyle w:val="ListParagraph"/>
              <w:numPr>
                <w:ilvl w:val="0"/>
                <w:numId w:val="17"/>
              </w:numPr>
              <w:autoSpaceDE w:val="0"/>
              <w:autoSpaceDN w:val="0"/>
              <w:adjustRightInd w:val="0"/>
              <w:spacing w:line="360" w:lineRule="auto"/>
              <w:jc w:val="both"/>
              <w:rPr>
                <w:rFonts w:asciiTheme="minorBidi" w:hAnsiTheme="minorBidi" w:cstheme="minorBidi"/>
                <w:sz w:val="24"/>
                <w:szCs w:val="24"/>
                <w:lang w:val="en-GB"/>
              </w:rPr>
            </w:pPr>
            <w:r w:rsidRPr="00261B95">
              <w:rPr>
                <w:rFonts w:asciiTheme="minorBidi" w:hAnsiTheme="minorBidi" w:cstheme="minorBidi"/>
                <w:sz w:val="24"/>
                <w:szCs w:val="24"/>
                <w:lang w:val="en-GB"/>
              </w:rPr>
              <w:t>Real or physical evidence consists of tangible objects or property. It may include a knife, pistol, or any other weapon. It must be relevant to the case and admissible in a court of law.</w:t>
            </w:r>
          </w:p>
          <w:p w:rsidR="00261B95" w:rsidRPr="00261B95" w:rsidRDefault="00261B95" w:rsidP="00261B95">
            <w:pPr>
              <w:autoSpaceDE w:val="0"/>
              <w:autoSpaceDN w:val="0"/>
              <w:adjustRightInd w:val="0"/>
              <w:spacing w:line="360" w:lineRule="auto"/>
              <w:jc w:val="both"/>
              <w:rPr>
                <w:rFonts w:asciiTheme="minorBidi" w:hAnsiTheme="minorBidi"/>
                <w:sz w:val="24"/>
                <w:szCs w:val="24"/>
                <w:lang w:val="en-GB"/>
              </w:rPr>
            </w:pPr>
          </w:p>
          <w:p w:rsidR="00261B95" w:rsidRPr="00261B95" w:rsidRDefault="00261B95" w:rsidP="007D6716">
            <w:pPr>
              <w:autoSpaceDE w:val="0"/>
              <w:autoSpaceDN w:val="0"/>
              <w:adjustRightInd w:val="0"/>
              <w:spacing w:line="360" w:lineRule="auto"/>
              <w:jc w:val="both"/>
              <w:rPr>
                <w:rFonts w:asciiTheme="minorBidi" w:hAnsiTheme="minorBidi"/>
                <w:sz w:val="24"/>
                <w:szCs w:val="24"/>
                <w:lang w:val="en-GB"/>
              </w:rPr>
            </w:pPr>
            <w:r w:rsidRPr="00261B95">
              <w:rPr>
                <w:rFonts w:asciiTheme="minorBidi" w:hAnsiTheme="minorBidi"/>
                <w:sz w:val="24"/>
                <w:szCs w:val="24"/>
                <w:lang w:val="en-GB"/>
              </w:rPr>
              <w:t xml:space="preserve">3. Evidence gathered in financial crime cases differ from the one gathered in non-financial crime cases, non-financial crimes for example; murder or burglary rely </w:t>
            </w:r>
            <w:r w:rsidRPr="00261B95">
              <w:rPr>
                <w:rFonts w:asciiTheme="minorBidi" w:hAnsiTheme="minorBidi"/>
                <w:sz w:val="24"/>
                <w:szCs w:val="24"/>
                <w:lang w:val="en-GB"/>
              </w:rPr>
              <w:lastRenderedPageBreak/>
              <w:t xml:space="preserve">heavily on real or physical evidence rather than documentary evidence, while financial crimes rely mostly on documentary evidence, the reason is that the financial crimes occurs within the business environment where activities represented by </w:t>
            </w:r>
            <w:r w:rsidR="007D6716">
              <w:rPr>
                <w:rFonts w:asciiTheme="minorBidi" w:hAnsiTheme="minorBidi"/>
                <w:sz w:val="24"/>
                <w:szCs w:val="24"/>
                <w:lang w:val="en-GB"/>
              </w:rPr>
              <w:t xml:space="preserve">high volume of </w:t>
            </w:r>
            <w:r w:rsidRPr="00261B95">
              <w:rPr>
                <w:rFonts w:asciiTheme="minorBidi" w:hAnsiTheme="minorBidi"/>
                <w:sz w:val="24"/>
                <w:szCs w:val="24"/>
                <w:lang w:val="en-GB"/>
              </w:rPr>
              <w:t>transactions and proved</w:t>
            </w:r>
            <w:r w:rsidR="007D6716">
              <w:rPr>
                <w:rFonts w:asciiTheme="minorBidi" w:hAnsiTheme="minorBidi"/>
                <w:sz w:val="24"/>
                <w:szCs w:val="24"/>
                <w:lang w:val="en-GB"/>
              </w:rPr>
              <w:t xml:space="preserve"> typically </w:t>
            </w:r>
            <w:r w:rsidRPr="00261B95">
              <w:rPr>
                <w:rFonts w:asciiTheme="minorBidi" w:hAnsiTheme="minorBidi"/>
                <w:sz w:val="24"/>
                <w:szCs w:val="24"/>
                <w:lang w:val="en-GB"/>
              </w:rPr>
              <w:t>by</w:t>
            </w:r>
            <w:r w:rsidR="007D6716">
              <w:rPr>
                <w:rFonts w:asciiTheme="minorBidi" w:hAnsiTheme="minorBidi"/>
                <w:sz w:val="24"/>
                <w:szCs w:val="24"/>
                <w:lang w:val="en-GB"/>
              </w:rPr>
              <w:t xml:space="preserve"> a high volume of</w:t>
            </w:r>
            <w:r w:rsidRPr="00261B95">
              <w:rPr>
                <w:rFonts w:asciiTheme="minorBidi" w:hAnsiTheme="minorBidi"/>
                <w:sz w:val="24"/>
                <w:szCs w:val="24"/>
                <w:lang w:val="en-GB"/>
              </w:rPr>
              <w:t xml:space="preserve"> documents.  </w:t>
            </w:r>
          </w:p>
          <w:p w:rsidR="00261B95" w:rsidRPr="00261B95" w:rsidRDefault="00261B95" w:rsidP="00261B95">
            <w:pPr>
              <w:autoSpaceDE w:val="0"/>
              <w:autoSpaceDN w:val="0"/>
              <w:adjustRightInd w:val="0"/>
              <w:spacing w:line="360" w:lineRule="auto"/>
              <w:jc w:val="both"/>
              <w:rPr>
                <w:rFonts w:asciiTheme="minorBidi" w:hAnsiTheme="minorBidi"/>
                <w:sz w:val="24"/>
                <w:szCs w:val="24"/>
                <w:rtl/>
                <w:lang w:val="en-GB"/>
              </w:rPr>
            </w:pPr>
            <w:r w:rsidRPr="00261B95">
              <w:rPr>
                <w:rFonts w:asciiTheme="minorBidi" w:hAnsiTheme="minorBidi"/>
                <w:sz w:val="24"/>
                <w:szCs w:val="24"/>
                <w:lang w:val="en-GB"/>
              </w:rPr>
              <w:t>The type of evidence is what differentiates financial crimes from non-financial crimes. In cases of murder or burglary, for example, evidence usually comprises fingerprints, weapons, and other physical or real objects. Sometimes, documentary proof and photographs are also considered important evidence but these are relatively rare in non-financial crimes. Financial crimes, on the other hand, are highly document-based. Investigators are usually faced with volumes of documents, receipts, papers, etc. What is considered an unusually high volume of evidence for non-financial crimes is a very common volume for financial crimes.</w:t>
            </w:r>
          </w:p>
          <w:p w:rsidR="00261B95" w:rsidRDefault="00261B95" w:rsidP="00261B95">
            <w:pPr>
              <w:spacing w:line="360" w:lineRule="auto"/>
            </w:pPr>
          </w:p>
          <w:p w:rsidR="00261B95" w:rsidRPr="008E36B7" w:rsidRDefault="00261B95" w:rsidP="00261B95">
            <w:pPr>
              <w:spacing w:line="360" w:lineRule="auto"/>
              <w:rPr>
                <w:rFonts w:asciiTheme="minorBidi" w:hAnsiTheme="minorBidi"/>
                <w:b/>
                <w:bCs/>
                <w:i/>
                <w:iCs/>
                <w:sz w:val="24"/>
                <w:szCs w:val="24"/>
                <w:u w:val="single"/>
              </w:rPr>
            </w:pPr>
            <w:r w:rsidRPr="008E36B7">
              <w:rPr>
                <w:rFonts w:asciiTheme="minorBidi" w:hAnsiTheme="minorBidi"/>
                <w:b/>
                <w:bCs/>
                <w:i/>
                <w:iCs/>
                <w:sz w:val="24"/>
                <w:szCs w:val="24"/>
                <w:u w:val="single"/>
              </w:rPr>
              <w:t>References:</w:t>
            </w:r>
          </w:p>
          <w:p w:rsidR="00261B95" w:rsidRPr="008E36B7" w:rsidRDefault="00261B95" w:rsidP="00261B95">
            <w:pPr>
              <w:autoSpaceDE w:val="0"/>
              <w:autoSpaceDN w:val="0"/>
              <w:adjustRightInd w:val="0"/>
              <w:spacing w:line="360" w:lineRule="auto"/>
              <w:jc w:val="both"/>
              <w:rPr>
                <w:rFonts w:asciiTheme="minorBidi" w:hAnsiTheme="minorBidi"/>
                <w:sz w:val="24"/>
                <w:szCs w:val="24"/>
              </w:rPr>
            </w:pPr>
            <w:r w:rsidRPr="008E36B7">
              <w:rPr>
                <w:rFonts w:asciiTheme="minorBidi" w:hAnsiTheme="minorBidi"/>
                <w:sz w:val="24"/>
                <w:szCs w:val="24"/>
                <w:lang w:val="en-GB"/>
              </w:rPr>
              <w:t>‘’Fraud Auditing and Forensic Accounting’’, 4th edition, T</w:t>
            </w:r>
            <w:proofErr w:type="spellStart"/>
            <w:r w:rsidRPr="008E36B7">
              <w:rPr>
                <w:rFonts w:asciiTheme="minorBidi" w:hAnsiTheme="minorBidi"/>
                <w:sz w:val="24"/>
                <w:szCs w:val="24"/>
              </w:rPr>
              <w:t>ommie</w:t>
            </w:r>
            <w:proofErr w:type="spellEnd"/>
            <w:r w:rsidRPr="008E36B7">
              <w:rPr>
                <w:rFonts w:asciiTheme="minorBidi" w:hAnsiTheme="minorBidi"/>
                <w:sz w:val="24"/>
                <w:szCs w:val="24"/>
                <w:lang w:val="en-GB"/>
              </w:rPr>
              <w:t xml:space="preserve"> W. S</w:t>
            </w:r>
            <w:proofErr w:type="spellStart"/>
            <w:r w:rsidRPr="008E36B7">
              <w:rPr>
                <w:rFonts w:asciiTheme="minorBidi" w:hAnsiTheme="minorBidi"/>
                <w:sz w:val="24"/>
                <w:szCs w:val="24"/>
              </w:rPr>
              <w:t>ingleton</w:t>
            </w:r>
            <w:proofErr w:type="spellEnd"/>
            <w:r w:rsidRPr="008E36B7">
              <w:rPr>
                <w:rFonts w:asciiTheme="minorBidi" w:hAnsiTheme="minorBidi"/>
                <w:sz w:val="24"/>
                <w:szCs w:val="24"/>
                <w:lang w:val="en-GB"/>
              </w:rPr>
              <w:t xml:space="preserve"> &amp; A</w:t>
            </w:r>
            <w:proofErr w:type="spellStart"/>
            <w:r w:rsidRPr="008E36B7">
              <w:rPr>
                <w:rFonts w:asciiTheme="minorBidi" w:hAnsiTheme="minorBidi"/>
                <w:sz w:val="24"/>
                <w:szCs w:val="24"/>
              </w:rPr>
              <w:t>aron</w:t>
            </w:r>
            <w:proofErr w:type="spellEnd"/>
            <w:r w:rsidRPr="008E36B7">
              <w:rPr>
                <w:rFonts w:asciiTheme="minorBidi" w:hAnsiTheme="minorBidi"/>
                <w:sz w:val="24"/>
                <w:szCs w:val="24"/>
                <w:lang w:val="en-GB"/>
              </w:rPr>
              <w:t xml:space="preserve"> J. S</w:t>
            </w:r>
            <w:proofErr w:type="spellStart"/>
            <w:r w:rsidRPr="008E36B7">
              <w:rPr>
                <w:rFonts w:asciiTheme="minorBidi" w:hAnsiTheme="minorBidi"/>
                <w:sz w:val="24"/>
                <w:szCs w:val="24"/>
              </w:rPr>
              <w:t>ingleton</w:t>
            </w:r>
            <w:proofErr w:type="spellEnd"/>
            <w:r w:rsidRPr="008E36B7">
              <w:rPr>
                <w:rFonts w:asciiTheme="minorBidi" w:hAnsiTheme="minorBidi"/>
                <w:sz w:val="24"/>
                <w:szCs w:val="24"/>
              </w:rPr>
              <w:t>.</w:t>
            </w:r>
          </w:p>
          <w:p w:rsidR="00261B95" w:rsidRPr="00261B95" w:rsidRDefault="00261B95" w:rsidP="00261B95">
            <w:pPr>
              <w:autoSpaceDE w:val="0"/>
              <w:autoSpaceDN w:val="0"/>
              <w:adjustRightInd w:val="0"/>
              <w:spacing w:line="360" w:lineRule="auto"/>
              <w:jc w:val="both"/>
              <w:rPr>
                <w:rFonts w:asciiTheme="minorBidi" w:hAnsiTheme="minorBidi"/>
                <w:sz w:val="24"/>
                <w:szCs w:val="24"/>
              </w:rPr>
            </w:pPr>
          </w:p>
          <w:p w:rsidR="00261B95" w:rsidRPr="008E36B7" w:rsidRDefault="00261B95" w:rsidP="00261B95">
            <w:pPr>
              <w:autoSpaceDE w:val="0"/>
              <w:autoSpaceDN w:val="0"/>
              <w:adjustRightInd w:val="0"/>
              <w:spacing w:line="360" w:lineRule="auto"/>
              <w:jc w:val="both"/>
              <w:rPr>
                <w:rFonts w:asciiTheme="minorBidi" w:hAnsiTheme="minorBidi"/>
                <w:sz w:val="24"/>
                <w:szCs w:val="24"/>
                <w:lang w:val="en-GB"/>
              </w:rPr>
            </w:pPr>
            <w:r w:rsidRPr="008E36B7">
              <w:rPr>
                <w:rFonts w:asciiTheme="minorBidi" w:hAnsiTheme="minorBidi"/>
                <w:sz w:val="24"/>
                <w:szCs w:val="24"/>
                <w:lang w:val="en-GB"/>
              </w:rPr>
              <w:t xml:space="preserve">‘’Forensic Accounting and Fraud Investigation for Non-Experts’’, 2nd edition, Howard Silverstone &amp; Michael </w:t>
            </w:r>
            <w:proofErr w:type="spellStart"/>
            <w:r w:rsidRPr="008E36B7">
              <w:rPr>
                <w:rFonts w:asciiTheme="minorBidi" w:hAnsiTheme="minorBidi"/>
                <w:sz w:val="24"/>
                <w:szCs w:val="24"/>
                <w:lang w:val="en-GB"/>
              </w:rPr>
              <w:t>Sheetz</w:t>
            </w:r>
            <w:proofErr w:type="spellEnd"/>
            <w:r w:rsidRPr="008E36B7">
              <w:rPr>
                <w:rFonts w:asciiTheme="minorBidi" w:hAnsiTheme="minorBidi"/>
                <w:sz w:val="24"/>
                <w:szCs w:val="24"/>
                <w:lang w:val="en-GB"/>
              </w:rPr>
              <w:t>.</w:t>
            </w:r>
          </w:p>
          <w:p w:rsidR="0056096B" w:rsidRPr="00261B95" w:rsidRDefault="0056096B" w:rsidP="00261B95">
            <w:pPr>
              <w:autoSpaceDE w:val="0"/>
              <w:autoSpaceDN w:val="0"/>
              <w:adjustRightInd w:val="0"/>
              <w:jc w:val="both"/>
              <w:rPr>
                <w:rFonts w:asciiTheme="minorBidi" w:hAnsiTheme="minorBidi"/>
                <w:b/>
                <w:sz w:val="24"/>
                <w:szCs w:val="24"/>
              </w:rPr>
            </w:pPr>
          </w:p>
        </w:tc>
      </w:tr>
    </w:tbl>
    <w:p w:rsidR="00503D7E" w:rsidRPr="005D6DA7" w:rsidRDefault="00503D7E" w:rsidP="00A851DA">
      <w:pPr>
        <w:autoSpaceDE w:val="0"/>
        <w:autoSpaceDN w:val="0"/>
        <w:adjustRightInd w:val="0"/>
        <w:spacing w:after="0" w:line="240" w:lineRule="auto"/>
        <w:rPr>
          <w:rFonts w:cs="CalvertMT-Bold"/>
          <w:b/>
          <w:bCs/>
          <w:sz w:val="28"/>
          <w:lang w:val="en-US"/>
        </w:rPr>
      </w:pPr>
    </w:p>
    <w:p w:rsidR="00A851DA" w:rsidRPr="005D6DA7" w:rsidRDefault="00AE1481" w:rsidP="00A851DA">
      <w:pPr>
        <w:autoSpaceDE w:val="0"/>
        <w:autoSpaceDN w:val="0"/>
        <w:adjustRightInd w:val="0"/>
        <w:spacing w:after="0" w:line="240" w:lineRule="auto"/>
        <w:rPr>
          <w:rFonts w:cs="CalvertMT-Bold"/>
          <w:b/>
          <w:bCs/>
          <w:sz w:val="28"/>
          <w:lang w:val="en-US"/>
        </w:rPr>
      </w:pPr>
      <w:r w:rsidRPr="005D6DA7">
        <w:rPr>
          <w:rFonts w:cs="CalvertMT-Bold"/>
          <w:b/>
          <w:bCs/>
          <w:sz w:val="28"/>
          <w:lang w:val="en-US"/>
        </w:rPr>
        <w:t>Student</w:t>
      </w:r>
      <w:r w:rsidR="00A851DA" w:rsidRPr="005D6DA7">
        <w:rPr>
          <w:rFonts w:cs="CalvertMT-Bold"/>
          <w:b/>
          <w:bCs/>
          <w:sz w:val="28"/>
          <w:lang w:val="en-US"/>
        </w:rPr>
        <w:t xml:space="preserve"> Statement:</w:t>
      </w:r>
    </w:p>
    <w:p w:rsidR="00A851DA" w:rsidRPr="005D6DA7" w:rsidRDefault="00A851DA" w:rsidP="00A851DA">
      <w:pPr>
        <w:autoSpaceDE w:val="0"/>
        <w:autoSpaceDN w:val="0"/>
        <w:adjustRightInd w:val="0"/>
        <w:spacing w:after="0" w:line="240" w:lineRule="auto"/>
        <w:rPr>
          <w:rFonts w:cs="CalvertMT-Bold"/>
          <w:b/>
          <w:bCs/>
          <w:lang w:val="en-US"/>
        </w:rPr>
      </w:pPr>
    </w:p>
    <w:p w:rsidR="00A851DA" w:rsidRPr="005D6DA7" w:rsidRDefault="00405895" w:rsidP="00A851DA">
      <w:pPr>
        <w:autoSpaceDE w:val="0"/>
        <w:autoSpaceDN w:val="0"/>
        <w:adjustRightInd w:val="0"/>
        <w:spacing w:after="0" w:line="240" w:lineRule="auto"/>
        <w:rPr>
          <w:rFonts w:cs="Bliss-Regular"/>
          <w:lang w:val="en-US"/>
        </w:rPr>
      </w:pPr>
      <w:r w:rsidRPr="005D6DA7">
        <w:rPr>
          <w:rFonts w:cs="Bliss-Regular"/>
          <w:lang w:val="en-US"/>
        </w:rPr>
        <w:t>By submitting this assignment, I confirm that this is my own work.</w:t>
      </w:r>
    </w:p>
    <w:p w:rsidR="00503D7E" w:rsidRPr="005D6DA7" w:rsidRDefault="00503D7E" w:rsidP="00A851DA">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310"/>
        <w:gridCol w:w="4035"/>
        <w:gridCol w:w="1276"/>
        <w:gridCol w:w="1621"/>
      </w:tblGrid>
      <w:tr w:rsidR="005D6DA7" w:rsidRPr="005D6DA7" w:rsidTr="00405895">
        <w:tc>
          <w:tcPr>
            <w:tcW w:w="2310" w:type="dxa"/>
            <w:shd w:val="clear" w:color="auto" w:fill="D9D9D9" w:themeFill="background1" w:themeFillShade="D9"/>
          </w:tcPr>
          <w:p w:rsidR="00405895" w:rsidRPr="005D6DA7" w:rsidRDefault="00405895" w:rsidP="00A851DA">
            <w:pPr>
              <w:rPr>
                <w:rFonts w:cs="Bliss-Regular"/>
              </w:rPr>
            </w:pPr>
            <w:r w:rsidRPr="005D6DA7">
              <w:rPr>
                <w:rFonts w:cs="Bliss-Regular"/>
              </w:rPr>
              <w:t>Student Signature</w:t>
            </w:r>
          </w:p>
        </w:tc>
        <w:tc>
          <w:tcPr>
            <w:tcW w:w="4035" w:type="dxa"/>
          </w:tcPr>
          <w:p w:rsidR="00405895" w:rsidRPr="005D6DA7" w:rsidRDefault="00CB2A1B" w:rsidP="00A851DA">
            <w:pPr>
              <w:rPr>
                <w:rFonts w:cs="Bliss-Regular"/>
              </w:rPr>
            </w:pPr>
            <w:r w:rsidRPr="005D6DA7">
              <w:rPr>
                <w:rFonts w:asciiTheme="minorBidi" w:hAnsiTheme="minorBidi"/>
              </w:rPr>
              <w:t xml:space="preserve">Ashraf Kamal </w:t>
            </w:r>
            <w:proofErr w:type="spellStart"/>
            <w:r w:rsidRPr="005D6DA7">
              <w:rPr>
                <w:rFonts w:asciiTheme="minorBidi" w:hAnsiTheme="minorBidi"/>
              </w:rPr>
              <w:t>Hamed</w:t>
            </w:r>
            <w:proofErr w:type="spellEnd"/>
            <w:r w:rsidRPr="005D6DA7">
              <w:rPr>
                <w:rFonts w:asciiTheme="minorBidi" w:hAnsiTheme="minorBidi"/>
              </w:rPr>
              <w:t xml:space="preserve"> Bashir</w:t>
            </w:r>
          </w:p>
        </w:tc>
        <w:tc>
          <w:tcPr>
            <w:tcW w:w="1276" w:type="dxa"/>
            <w:shd w:val="clear" w:color="auto" w:fill="D9D9D9" w:themeFill="background1" w:themeFillShade="D9"/>
          </w:tcPr>
          <w:p w:rsidR="00405895" w:rsidRPr="005D6DA7" w:rsidRDefault="00405895" w:rsidP="00A851DA">
            <w:pPr>
              <w:rPr>
                <w:rFonts w:cs="Bliss-Regular"/>
              </w:rPr>
            </w:pPr>
            <w:r w:rsidRPr="005D6DA7">
              <w:rPr>
                <w:rFonts w:cs="Bliss-Regular"/>
              </w:rPr>
              <w:t>Date</w:t>
            </w:r>
          </w:p>
        </w:tc>
        <w:tc>
          <w:tcPr>
            <w:tcW w:w="1621" w:type="dxa"/>
          </w:tcPr>
          <w:p w:rsidR="00405895" w:rsidRPr="005D6DA7" w:rsidRDefault="00261B95" w:rsidP="002A78EF">
            <w:pPr>
              <w:rPr>
                <w:rFonts w:cs="Bliss-Regular"/>
              </w:rPr>
            </w:pPr>
            <w:r>
              <w:rPr>
                <w:rFonts w:cs="Bliss-Regular"/>
              </w:rPr>
              <w:t>29</w:t>
            </w:r>
            <w:r w:rsidR="00541806" w:rsidRPr="005D6DA7">
              <w:rPr>
                <w:rFonts w:cs="Bliss-Regular"/>
              </w:rPr>
              <w:t>/</w:t>
            </w:r>
            <w:r w:rsidR="002A78EF">
              <w:rPr>
                <w:rFonts w:cs="Bliss-Regular"/>
              </w:rPr>
              <w:t>12</w:t>
            </w:r>
            <w:r w:rsidR="00541806" w:rsidRPr="005D6DA7">
              <w:rPr>
                <w:rFonts w:cs="Bliss-Regular"/>
              </w:rPr>
              <w:t>/2015</w:t>
            </w:r>
          </w:p>
        </w:tc>
      </w:tr>
    </w:tbl>
    <w:p w:rsidR="00A851DA" w:rsidRPr="005D6DA7" w:rsidRDefault="00A851DA" w:rsidP="00A851DA">
      <w:pPr>
        <w:rPr>
          <w:rFonts w:cs="Bliss-Regular"/>
          <w:lang w:val="en-US"/>
        </w:rPr>
      </w:pPr>
    </w:p>
    <w:p w:rsidR="00A851DA" w:rsidRPr="005D6DA7" w:rsidRDefault="00503D7E" w:rsidP="00503D7E">
      <w:pPr>
        <w:shd w:val="clear" w:color="auto" w:fill="D9D9D9" w:themeFill="background1" w:themeFillShade="D9"/>
        <w:rPr>
          <w:b/>
          <w:sz w:val="32"/>
          <w:lang w:val="en-US"/>
        </w:rPr>
      </w:pPr>
      <w:r w:rsidRPr="005D6DA7">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D6DA7" w:rsidRPr="005D6DA7" w:rsidTr="00B0415E">
        <w:trPr>
          <w:trHeight w:val="249"/>
        </w:trPr>
        <w:tc>
          <w:tcPr>
            <w:tcW w:w="4621" w:type="dxa"/>
            <w:shd w:val="clear" w:color="auto" w:fill="D9D9D9" w:themeFill="background1" w:themeFillShade="D9"/>
          </w:tcPr>
          <w:p w:rsidR="00503D7E" w:rsidRPr="005D6DA7" w:rsidRDefault="00503D7E" w:rsidP="00503D7E">
            <w:pPr>
              <w:rPr>
                <w:b/>
              </w:rPr>
            </w:pPr>
            <w:r w:rsidRPr="005D6DA7">
              <w:rPr>
                <w:b/>
              </w:rPr>
              <w:t>Total Marks</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503D7E" w:rsidP="00503D7E">
            <w:pPr>
              <w:rPr>
                <w:b/>
              </w:rPr>
            </w:pPr>
            <w:r w:rsidRPr="005D6DA7">
              <w:rPr>
                <w:b/>
              </w:rPr>
              <w:t>Marks Obtained</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B0415E" w:rsidP="00503D7E">
            <w:pPr>
              <w:rPr>
                <w:b/>
              </w:rPr>
            </w:pPr>
            <w:r w:rsidRPr="005D6DA7">
              <w:rPr>
                <w:b/>
              </w:rPr>
              <w:t>Percentage / Grade</w:t>
            </w:r>
          </w:p>
        </w:tc>
        <w:tc>
          <w:tcPr>
            <w:tcW w:w="4621" w:type="dxa"/>
          </w:tcPr>
          <w:p w:rsidR="00503D7E" w:rsidRPr="005D6DA7" w:rsidRDefault="00503D7E" w:rsidP="00503D7E">
            <w:pPr>
              <w:rPr>
                <w:rFonts w:cs="Times New Roman"/>
                <w:szCs w:val="32"/>
              </w:rPr>
            </w:pPr>
          </w:p>
        </w:tc>
      </w:tr>
    </w:tbl>
    <w:p w:rsidR="00EA30AB" w:rsidRPr="005D6DA7" w:rsidRDefault="00EA30AB" w:rsidP="00503D7E">
      <w:pPr>
        <w:rPr>
          <w:rFonts w:cs="Times New Roman"/>
          <w:sz w:val="24"/>
          <w:szCs w:val="32"/>
        </w:rPr>
      </w:pPr>
    </w:p>
    <w:sectPr w:rsidR="00EA30AB" w:rsidRPr="005D6DA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P6658">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E4A55"/>
    <w:multiLevelType w:val="hybridMultilevel"/>
    <w:tmpl w:val="631817AA"/>
    <w:lvl w:ilvl="0" w:tplc="2EAE1344">
      <w:start w:val="2"/>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C55118"/>
    <w:multiLevelType w:val="hybridMultilevel"/>
    <w:tmpl w:val="D0667E2C"/>
    <w:lvl w:ilvl="0" w:tplc="BEECF1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EE0993"/>
    <w:multiLevelType w:val="hybridMultilevel"/>
    <w:tmpl w:val="733A0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031B49"/>
    <w:multiLevelType w:val="hybridMultilevel"/>
    <w:tmpl w:val="426C79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4796BDD"/>
    <w:multiLevelType w:val="hybridMultilevel"/>
    <w:tmpl w:val="F02EB622"/>
    <w:lvl w:ilvl="0" w:tplc="3A16CC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B26D14"/>
    <w:multiLevelType w:val="hybridMultilevel"/>
    <w:tmpl w:val="AF1C68A4"/>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C307BC2"/>
    <w:multiLevelType w:val="hybridMultilevel"/>
    <w:tmpl w:val="13FE3656"/>
    <w:lvl w:ilvl="0" w:tplc="DEA896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E76823"/>
    <w:multiLevelType w:val="hybridMultilevel"/>
    <w:tmpl w:val="73B2DB12"/>
    <w:lvl w:ilvl="0" w:tplc="D4D0A6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D21FC4"/>
    <w:multiLevelType w:val="hybridMultilevel"/>
    <w:tmpl w:val="D228FB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29339E2"/>
    <w:multiLevelType w:val="hybridMultilevel"/>
    <w:tmpl w:val="B292FC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31661A"/>
    <w:multiLevelType w:val="hybridMultilevel"/>
    <w:tmpl w:val="9A1A61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9E0C05"/>
    <w:multiLevelType w:val="hybridMultilevel"/>
    <w:tmpl w:val="BF64F86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5DE14C1"/>
    <w:multiLevelType w:val="hybridMultilevel"/>
    <w:tmpl w:val="D270BA72"/>
    <w:lvl w:ilvl="0" w:tplc="AE7A09DE">
      <w:start w:val="3"/>
      <w:numFmt w:val="bullet"/>
      <w:lvlText w:val=""/>
      <w:lvlJc w:val="left"/>
      <w:pPr>
        <w:ind w:left="720" w:hanging="360"/>
      </w:pPr>
      <w:rPr>
        <w:rFonts w:ascii="Symbol" w:eastAsiaTheme="minorHAnsi" w:hAnsi="Symbol" w:cs="AdvP6658" w:hint="default"/>
        <w:color w:val="808080"/>
        <w:sz w:val="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6363688"/>
    <w:multiLevelType w:val="hybridMultilevel"/>
    <w:tmpl w:val="B36EFEAA"/>
    <w:lvl w:ilvl="0" w:tplc="BEBCA8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84C6040"/>
    <w:multiLevelType w:val="hybridMultilevel"/>
    <w:tmpl w:val="364EBB6E"/>
    <w:lvl w:ilvl="0" w:tplc="B2A625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A362E42"/>
    <w:multiLevelType w:val="hybridMultilevel"/>
    <w:tmpl w:val="1C94CC84"/>
    <w:lvl w:ilvl="0" w:tplc="7AC2D8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7213C1"/>
    <w:multiLevelType w:val="hybridMultilevel"/>
    <w:tmpl w:val="19C022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20B7B3C"/>
    <w:multiLevelType w:val="hybridMultilevel"/>
    <w:tmpl w:val="126E735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7"/>
  </w:num>
  <w:num w:numId="4">
    <w:abstractNumId w:val="4"/>
  </w:num>
  <w:num w:numId="5">
    <w:abstractNumId w:val="15"/>
  </w:num>
  <w:num w:numId="6">
    <w:abstractNumId w:val="2"/>
  </w:num>
  <w:num w:numId="7">
    <w:abstractNumId w:val="14"/>
  </w:num>
  <w:num w:numId="8">
    <w:abstractNumId w:val="0"/>
  </w:num>
  <w:num w:numId="9">
    <w:abstractNumId w:val="17"/>
  </w:num>
  <w:num w:numId="10">
    <w:abstractNumId w:val="5"/>
  </w:num>
  <w:num w:numId="11">
    <w:abstractNumId w:val="9"/>
  </w:num>
  <w:num w:numId="12">
    <w:abstractNumId w:val="6"/>
  </w:num>
  <w:num w:numId="13">
    <w:abstractNumId w:val="10"/>
  </w:num>
  <w:num w:numId="14">
    <w:abstractNumId w:val="11"/>
  </w:num>
  <w:num w:numId="15">
    <w:abstractNumId w:val="18"/>
  </w:num>
  <w:num w:numId="16">
    <w:abstractNumId w:val="13"/>
  </w:num>
  <w:num w:numId="17">
    <w:abstractNumId w:val="8"/>
  </w:num>
  <w:num w:numId="18">
    <w:abstractNumId w:val="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6451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E4129"/>
    <w:rsid w:val="001175EE"/>
    <w:rsid w:val="00157CF6"/>
    <w:rsid w:val="00182416"/>
    <w:rsid w:val="00187EB4"/>
    <w:rsid w:val="001A0602"/>
    <w:rsid w:val="001F0481"/>
    <w:rsid w:val="00200C92"/>
    <w:rsid w:val="0020451E"/>
    <w:rsid w:val="00206B9D"/>
    <w:rsid w:val="0023259C"/>
    <w:rsid w:val="00261B95"/>
    <w:rsid w:val="002A78EF"/>
    <w:rsid w:val="002B0BD7"/>
    <w:rsid w:val="002B573D"/>
    <w:rsid w:val="002C5CB2"/>
    <w:rsid w:val="002F779F"/>
    <w:rsid w:val="00371885"/>
    <w:rsid w:val="003E2B87"/>
    <w:rsid w:val="00402786"/>
    <w:rsid w:val="00405895"/>
    <w:rsid w:val="004058DF"/>
    <w:rsid w:val="00443E6F"/>
    <w:rsid w:val="00463386"/>
    <w:rsid w:val="00486F1A"/>
    <w:rsid w:val="00490CB9"/>
    <w:rsid w:val="004A2CE2"/>
    <w:rsid w:val="004E3CDA"/>
    <w:rsid w:val="004F4B4D"/>
    <w:rsid w:val="0050216D"/>
    <w:rsid w:val="00503D7E"/>
    <w:rsid w:val="0050778F"/>
    <w:rsid w:val="00527C11"/>
    <w:rsid w:val="00535F31"/>
    <w:rsid w:val="00541806"/>
    <w:rsid w:val="0056096B"/>
    <w:rsid w:val="00574D64"/>
    <w:rsid w:val="00591365"/>
    <w:rsid w:val="005B31E4"/>
    <w:rsid w:val="005D6DA7"/>
    <w:rsid w:val="006034F6"/>
    <w:rsid w:val="00607874"/>
    <w:rsid w:val="00607E77"/>
    <w:rsid w:val="00617BB3"/>
    <w:rsid w:val="00645CDD"/>
    <w:rsid w:val="006823A7"/>
    <w:rsid w:val="00687EE8"/>
    <w:rsid w:val="006E1476"/>
    <w:rsid w:val="0070347F"/>
    <w:rsid w:val="0070678E"/>
    <w:rsid w:val="007D6716"/>
    <w:rsid w:val="00831C11"/>
    <w:rsid w:val="0085330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2A1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B0B"/>
    <w:rsid w:val="00EA30AB"/>
    <w:rsid w:val="00EB3925"/>
    <w:rsid w:val="00ED2A1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451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CB2A1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B2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B2A1B"/>
    <w:rPr>
      <w:rFonts w:ascii="Courier New" w:eastAsia="Times New Roman" w:hAnsi="Courier New" w:cs="Courier New"/>
      <w:sz w:val="20"/>
      <w:szCs w:val="20"/>
      <w:lang w:val="en-US"/>
    </w:rPr>
  </w:style>
  <w:style w:type="character" w:customStyle="1" w:styleId="Heading2Char">
    <w:name w:val="Heading 2 Char"/>
    <w:basedOn w:val="DefaultParagraphFont"/>
    <w:link w:val="Heading2"/>
    <w:uiPriority w:val="9"/>
    <w:rsid w:val="00CB2A1B"/>
    <w:rPr>
      <w:rFonts w:ascii="Times New Roman" w:eastAsia="Times New Roman" w:hAnsi="Times New Roman" w:cs="Times New Roman"/>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724467">
      <w:bodyDiv w:val="1"/>
      <w:marLeft w:val="0"/>
      <w:marRight w:val="0"/>
      <w:marTop w:val="0"/>
      <w:marBottom w:val="0"/>
      <w:divBdr>
        <w:top w:val="none" w:sz="0" w:space="0" w:color="auto"/>
        <w:left w:val="none" w:sz="0" w:space="0" w:color="auto"/>
        <w:bottom w:val="none" w:sz="0" w:space="0" w:color="auto"/>
        <w:right w:val="none" w:sz="0" w:space="0" w:color="auto"/>
      </w:divBdr>
    </w:div>
    <w:div w:id="16783880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B34C8-4DEE-4104-A8E1-2C066030D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2126</Words>
  <Characters>12124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11</cp:revision>
  <dcterms:created xsi:type="dcterms:W3CDTF">2015-01-26T12:24:00Z</dcterms:created>
  <dcterms:modified xsi:type="dcterms:W3CDTF">2015-12-29T17:49:00Z</dcterms:modified>
</cp:coreProperties>
</file>