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AEB" w:rsidRDefault="00342AEB">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94609472" r:id="rId6"/>
        </w:object>
      </w:r>
      <w:r>
        <w:rPr>
          <w:color w:val="000000"/>
          <w:sz w:val="24"/>
          <w:szCs w:val="24"/>
        </w:rPr>
        <w:t xml:space="preserve">                                                                  </w:t>
      </w:r>
    </w:p>
    <w:p w:rsidR="00342AEB" w:rsidRDefault="00342AEB">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342AEB" w:rsidRDefault="00342AEB">
      <w:pPr>
        <w:spacing w:after="200" w:line="276" w:lineRule="auto"/>
      </w:pPr>
    </w:p>
    <w:tbl>
      <w:tblPr>
        <w:tblW w:w="0" w:type="auto"/>
        <w:tblInd w:w="-8" w:type="dxa"/>
        <w:tblCellMar>
          <w:left w:w="10" w:type="dxa"/>
          <w:right w:w="10" w:type="dxa"/>
        </w:tblCellMar>
        <w:tblLook w:val="0000"/>
      </w:tblPr>
      <w:tblGrid>
        <w:gridCol w:w="2548"/>
        <w:gridCol w:w="6596"/>
      </w:tblGrid>
      <w:tr w:rsidR="00342AEB"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SARAH ALLISON BAKER</w:t>
            </w:r>
          </w:p>
        </w:tc>
      </w:tr>
      <w:tr w:rsidR="00342AEB"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1186</w:t>
            </w:r>
          </w:p>
        </w:tc>
      </w:tr>
      <w:tr w:rsidR="00342AEB"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DIPLOMA IN TRAVEL &amp; TOURISM</w:t>
            </w:r>
          </w:p>
        </w:tc>
      </w:tr>
      <w:tr w:rsidR="00342AEB"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10</w:t>
            </w:r>
          </w:p>
        </w:tc>
      </w:tr>
    </w:tbl>
    <w:p w:rsidR="00342AEB" w:rsidRDefault="00342AEB">
      <w:pPr>
        <w:spacing w:after="200" w:line="276" w:lineRule="auto"/>
        <w:rPr>
          <w:b/>
          <w:bCs/>
        </w:rPr>
      </w:pPr>
    </w:p>
    <w:tbl>
      <w:tblPr>
        <w:tblW w:w="0" w:type="auto"/>
        <w:tblInd w:w="-8" w:type="dxa"/>
        <w:tblCellMar>
          <w:left w:w="10" w:type="dxa"/>
          <w:right w:w="10" w:type="dxa"/>
        </w:tblCellMar>
        <w:tblLook w:val="0000"/>
      </w:tblPr>
      <w:tblGrid>
        <w:gridCol w:w="9144"/>
      </w:tblGrid>
      <w:tr w:rsidR="00342AEB"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Pr="00EE448E" w:rsidRDefault="00342AEB" w:rsidP="002A7C48">
            <w:pPr>
              <w:spacing w:line="360" w:lineRule="auto"/>
              <w:jc w:val="both"/>
              <w:rPr>
                <w:rFonts w:ascii="Arial" w:hAnsi="Arial" w:cs="Arial"/>
                <w:sz w:val="24"/>
                <w:szCs w:val="24"/>
              </w:rPr>
            </w:pPr>
            <w:r w:rsidRPr="00EE448E">
              <w:rPr>
                <w:rFonts w:ascii="Arial" w:hAnsi="Arial" w:cs="Arial"/>
                <w:sz w:val="24"/>
                <w:szCs w:val="24"/>
              </w:rPr>
              <w:t>Please insert your completed assignment (in word format) here:</w:t>
            </w:r>
          </w:p>
          <w:p w:rsidR="00342AEB" w:rsidRPr="00EE448E" w:rsidRDefault="00342AEB" w:rsidP="008327D3">
            <w:pPr>
              <w:spacing w:line="360" w:lineRule="auto"/>
              <w:jc w:val="both"/>
              <w:rPr>
                <w:rFonts w:ascii="Arial" w:hAnsi="Arial" w:cs="Arial"/>
                <w:sz w:val="24"/>
                <w:szCs w:val="24"/>
              </w:rPr>
            </w:pPr>
          </w:p>
          <w:p w:rsidR="00342AEB" w:rsidRPr="00EE448E" w:rsidRDefault="00342AEB" w:rsidP="008327D3">
            <w:pPr>
              <w:spacing w:line="360" w:lineRule="auto"/>
              <w:jc w:val="both"/>
              <w:rPr>
                <w:rFonts w:ascii="Arial" w:hAnsi="Arial" w:cs="Arial"/>
                <w:sz w:val="24"/>
                <w:szCs w:val="24"/>
              </w:rPr>
            </w:pPr>
            <w:r w:rsidRPr="00EE448E">
              <w:rPr>
                <w:rFonts w:ascii="Arial" w:hAnsi="Arial" w:cs="Arial"/>
                <w:sz w:val="24"/>
                <w:szCs w:val="24"/>
              </w:rPr>
              <w:t>ASSESSMENT 10</w:t>
            </w:r>
          </w:p>
          <w:p w:rsidR="00342AEB" w:rsidRPr="00EE448E" w:rsidRDefault="00342AEB" w:rsidP="008327D3">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1. Give short answers to the following questions: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1. I. Outline the benefits of public awareness programmes.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 public awareness programme serves two broad purposes: to provide information for the residents in the area/country receiving tourists and to provide information for the tourists themselves.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residents need to be kept informed about the development of tourism in their area/country and how it will benefit their economic and social well-being. A public awareness programme should not only cover these points but also address any worries the residents may have about the impact of tourism on their area, caused by, for example, the building of new hotels or roads or simply by the influx of many more people. By explaining the benefits and taking concerns seriously, such a programme should ultimately encourage the residents to support the development of tourism.</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 public awareness programme should also inform tourists about the local culture and appropriate behaviour in order that they can get the most from their visit without leaving a negative impression on the local population which, in turn, might adversely impact support for further tourism development.</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Therefore a public awareness programme benefits: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 residents by keeping them informed and giving them a chance to air concerns.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b) business</w:t>
            </w:r>
            <w:r>
              <w:rPr>
                <w:rFonts w:ascii="Arial" w:hAnsi="Arial" w:cs="Arial"/>
                <w:sz w:val="24"/>
                <w:szCs w:val="24"/>
              </w:rPr>
              <w:t>es</w:t>
            </w:r>
            <w:r w:rsidRPr="00EE448E">
              <w:rPr>
                <w:rFonts w:ascii="Arial" w:hAnsi="Arial" w:cs="Arial"/>
                <w:sz w:val="24"/>
                <w:szCs w:val="24"/>
              </w:rPr>
              <w:t xml:space="preserve"> involved in tourism by giving them the ability to explain what they are doing/planning and a platform to mobilise public support.</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c) tourists by helping them to understand the culture and avoid any awkward situations they may otherwise have encountered if they had not been made aware of cultural norms in that country.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1. II. How do inbound tours benefit the country?</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Inbound tourism can bring many benefits to a country. These can broadly be divided into three groups: finance, culture and infrastructure although there is a certain amount of crossover between these groups.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financial benefits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Tourism stimulates economic development </w:t>
            </w:r>
            <w:r>
              <w:rPr>
                <w:rFonts w:ascii="Arial" w:hAnsi="Arial" w:cs="Arial"/>
              </w:rPr>
              <w:t xml:space="preserve">and investment </w:t>
            </w:r>
            <w:r w:rsidRPr="00EE448E">
              <w:rPr>
                <w:rFonts w:ascii="Arial" w:hAnsi="Arial" w:cs="Arial"/>
                <w:sz w:val="24"/>
                <w:szCs w:val="24"/>
              </w:rPr>
              <w:t>and leads to the creation of new jobs and business/investment opportunities in both tourism and other sectors. It generates revenue and earns foreign exchange.</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cultural benefits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Tourists are often interested in the cultural aspects of their destination which leads to a market for local handicrafts; an audience for cultural performances; customers for restaurants serving local cuisine and, in some cases, students for language courses. There is obviously a financial benefit here but, beyond that, it strengthens the sense of cultural identity and keeps traditions alive, which must surely be welcome, particularly in a world which seems at times to be becoming ever more homogeneous.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benefits to the infrastructure</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Tourists generally expect to find a reasonable infrastructure in place in their destination and, as the financial position of that destination improves, so the relevant authorities can provide this. Clearly, an improved road and rail network, a better local environment and enhanced community services benefit residents as well as tourists since these developments make the destination a more pleasant place in which to live.</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1. III. Outline the ways of promoting inbound tours.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It is first necessary to consider whether we are discussing the promotion of these tours in terms of increasing sales to tourists or in terms of encouraging the local population to be more supportive of tourism in their area.</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In either case, at the national level, the GTA should take the lead. It should cultivate and maintain strong relationships with the media and ensure they are kept fully informed about matters such as tourism trends, the revenue earned, jobs created and any future expansion plans. Positive publicity can promote inbound tours to both audiences. Let us take the example of the opening of a new five-star hotel: residents could see this as a positive move in terms of new job opportunities while tourists would see it from the perspective of the chance to stay in luxurious new accommodation.</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Some activities may also be undertaken by the GTA at a regional or local level. However, at this level, a local community action group may also be involved, or even take the initiative, so the GTA needs to build relationships with the communities and groups concerned. Local groups are generally formed by people with some type of interest in tourism, or an associated activity such as history or the environment, who come together over time and work at a local or regional level to influence future development. The GTA should be sensitive to the aims and initiatives of such groups and provide assistance where possible. If such groups do not emerge, the GTA should take the initiative.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Examples of activities which may promote inbound tours at the local level are exhibitions, festivals and competitions which make visitors aware of the local culture, achievements and practices. Such events, if well-organised and publicised, are likely to attract tourists to visit thereby promoting inbound tourism. They can also serve to promote a sense of pride in the local population in various ways. For example, this may be through the activity showcasing a particular aspect of the culture or by a destination becoming well-known for organising a prestigious event.</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2. Discuss in detail the programmes that can be organised to create public awareness about tourism.</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We have seen that the aim of a public awareness programme is to inform people. In this question, I have looked at how that process can take place.</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Newspapers, television and radio</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Relations with the press should be undertaken by the GTA’s public relations staff. The GTA should provide information about matters such as trends in the growth of tourism; the numbers of tourists and the length of their stay; the jobs created and the revenue earned. Information should also be provided about the government’s involvement in shaping tourism, particularly in the area of new public sector projects, and tourism’s support for the arts.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Press releases are the usual way of communicating such information and they should be written in the correct journalistic style. They must be newsworthy and all stories should be followed up when new developments occur. Press conferences may also be used as a means of communication but should only be used for news of greater significance rather than as a regular means of communicating with the press. In many cases, residents will have access to at least one form of media and so they will be able to follow developments in the newspapers, on television or on the radio.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Television and radio stations can also promote public awareness through their own programming. For example, local television stations may broadcast live from events at hotels or resorts while radio stations may run phone-in programmes enabling people to ask questions, raise concerns and comment on tourism in their area.</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Advertising via billboards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Billboards are an effective way of promoting public awareness. They have the advantage of immediacy, impact and do not rely on residents having access to, or actively looking for, information in the media.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Billboards may convey messages such as the importance of being friendly and helpful or they may point out that tourism is of great benefit to the community. Almost any desired message or information can be promoted in this way.</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Printed material</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This method of raising awareness includes tourist newspapers, leaflets and brochures. Local newspapers may carry features about tourism, places to eat, events and facts about the destination. It may also have a letters page allowing a dialogue to take place. Editors should remain in contact with the GTA and the GTA, in turn, should provide assistance wherever possible. Brochures and leaflets may also be used to convey a particular message about a destination.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Skills competitions and awards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Tapping into people’s competitive spirit is another way in which to raise awareness as it enables people to demonstrate their skills and knowledge in an enjoyable way. Competitions can be organised for an almost endless number of ‘best in category’ ideas, such as waiter, chef, hotel or restaurant of the year. Other competitions might be held to reward the best new ideas for developing tourism in the area or best public awareness poster.</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Depending on the precise nature of the competition, it could be held at local level or national level. Prizes should be organised with the collaboration of the tourism sector and maximum media coverage arranged for such events.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This method has many positive aspects: it encourages people to do their very best; it enables them to demonstrate their skills to a wider audience and, potentially, be rewarded for those skills in a way which is enjoyable to both participants and observers.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Programmes for schools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An introductory text on tourism should be written for use in secondary schools covering key facts about tourism: the product; demand; financial, environmental and cultural impacts and the job opportunities offered by tourism. While it may not be possible to have tourism offered as a separate subject in the school curriculum, it could usefully be studied as part of social studies or geography.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GTA should organise talks and presentations on tourism and, in particular, on the training courses available and job opportunities in the sector. Further involvement and interest could be generated by organising competitions; an activity such as designing travel posters would probably prove to be a popular and motivating activity allowing the students to combine creativity and facts.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Host programmes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participants should be selected from all occupations which have direct contact with the tourism industry and therefore such a programme is likely to include staff from travel agencies, airlines, hotels and restaurants, tour guides, taxi drivers and even customs and immigration officials.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training programme the participants take part in typically covers the following subjects:</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General knowledge about tourism</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The national cultural heritage</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 xml:space="preserve">The culture and background of tourists </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Why people travel and what they want and need</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Standards, the environment and quality</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Crime, focusing on how to protect tourists</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Social and communication skills</w:t>
            </w:r>
          </w:p>
          <w:p w:rsidR="00342AEB" w:rsidRPr="00EE448E" w:rsidRDefault="00342AEB" w:rsidP="00EE448E">
            <w:pPr>
              <w:numPr>
                <w:ilvl w:val="0"/>
                <w:numId w:val="7"/>
              </w:numPr>
              <w:spacing w:line="360" w:lineRule="auto"/>
              <w:jc w:val="both"/>
              <w:rPr>
                <w:rFonts w:ascii="Arial" w:hAnsi="Arial" w:cs="Arial"/>
                <w:sz w:val="24"/>
                <w:szCs w:val="24"/>
              </w:rPr>
            </w:pPr>
            <w:r w:rsidRPr="00EE448E">
              <w:rPr>
                <w:rFonts w:ascii="Arial" w:hAnsi="Arial" w:cs="Arial"/>
                <w:sz w:val="24"/>
                <w:szCs w:val="24"/>
              </w:rPr>
              <w:t>Making holidays memorable or special in some way</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At the end of the training, there should be a test after which successful participants are awarded a badge and certificate and become accredited hosts. This has the dual advantage of promoting pride in one’s job and the desire to do it well and, on the other side of the coin, producing swift improvements in the quality of the tourism products and, in turn, tourists’ experiences.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Workshops, seminars and conferences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The primary aims of such events are to educate, involve and listen to people and encourage them to engage in discussion about policies and plans. Naturally, presentations should be clear and thorough and in all events there should be opportunities for discussion and feedback so that people feel they have been heard and problems have been addressed. Ideally, a consensus should be reached where all interested parties have agreed to work towards a common goal.</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Campaigns </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 campaign can take a number of forms, for example it could be run on television and radio or through exhibitions and festivals, depending on the exact nature of the campaign. The campaign should have a clear theme and run for a set period of time. Activities should be designed in such a way as to attract wide media coverage.</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Information for tourists</w:t>
            </w: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As mentioned at the beginning of this assignment, public awareness programmes are not just about ensuring residents are informed and involved. They are also about informing tourists. People often need some help in order to fully discover and enjoy a culture which is new to them. Despite the advent of the internet and the comparative ease with which information can be obtained, it is often the case that people know little about life and culture in other countries.</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 xml:space="preserve">While it is true to say that some tourists are content to lie on a beach and dine in their hotel never straying from its grounds, many others are interested in learning about their destination and consider having the opportunity to do so to be an enjoyable and integral part of their holiday. Moreover, most people have no wish to cause any offence by unwittingly contravening a society’s norms. Therefore printed literature such as booklets, leaflets and posters can be provided to summarise key facts and advise visitors about any code of conduct: for example it might be necessary to remove one’s shoes or cover one’s head in a place of religious significance. Tourist guides should also provide such information but, as many people travel independently, printed material displayed in appropriate locations continues to serve an important purpose. For those who would like to explore a culture in further depth, books should be on sale. </w:t>
            </w:r>
          </w:p>
          <w:p w:rsidR="00342AEB" w:rsidRPr="00EE448E" w:rsidRDefault="00342AEB" w:rsidP="00EE448E">
            <w:pPr>
              <w:spacing w:line="360" w:lineRule="auto"/>
              <w:jc w:val="both"/>
              <w:rPr>
                <w:rFonts w:ascii="Arial" w:hAnsi="Arial" w:cs="Arial"/>
                <w:sz w:val="24"/>
                <w:szCs w:val="24"/>
              </w:rPr>
            </w:pPr>
          </w:p>
          <w:p w:rsidR="00342AEB" w:rsidRPr="00EE448E" w:rsidRDefault="00342AEB" w:rsidP="00EE448E">
            <w:pPr>
              <w:spacing w:line="360" w:lineRule="auto"/>
              <w:jc w:val="both"/>
              <w:rPr>
                <w:rFonts w:ascii="Arial" w:hAnsi="Arial" w:cs="Arial"/>
                <w:sz w:val="24"/>
                <w:szCs w:val="24"/>
              </w:rPr>
            </w:pPr>
            <w:r w:rsidRPr="00EE448E">
              <w:rPr>
                <w:rFonts w:ascii="Arial" w:hAnsi="Arial" w:cs="Arial"/>
                <w:sz w:val="24"/>
                <w:szCs w:val="24"/>
              </w:rPr>
              <w:t>Apart from printed literature, hotels and resorts can play their part by organising talks on the country and its culture but this is relatively rare and GTAs should encourage more initiatives of this type.</w:t>
            </w:r>
          </w:p>
          <w:p w:rsidR="00342AEB" w:rsidRPr="00397184" w:rsidRDefault="00342AEB" w:rsidP="00EE448E">
            <w:pPr>
              <w:spacing w:line="360" w:lineRule="auto"/>
              <w:jc w:val="both"/>
              <w:rPr>
                <w:rFonts w:ascii="Arial" w:hAnsi="Arial" w:cs="Arial"/>
                <w:sz w:val="24"/>
                <w:szCs w:val="24"/>
              </w:rPr>
            </w:pPr>
          </w:p>
        </w:tc>
      </w:tr>
    </w:tbl>
    <w:p w:rsidR="00342AEB" w:rsidRDefault="00342AEB">
      <w:pPr>
        <w:rPr>
          <w:b/>
          <w:bCs/>
          <w:color w:val="002060"/>
          <w:sz w:val="28"/>
          <w:szCs w:val="28"/>
        </w:rPr>
      </w:pPr>
    </w:p>
    <w:p w:rsidR="00342AEB" w:rsidRDefault="00342AEB">
      <w:pPr>
        <w:rPr>
          <w:b/>
          <w:bCs/>
          <w:color w:val="002060"/>
          <w:sz w:val="28"/>
          <w:szCs w:val="28"/>
        </w:rPr>
      </w:pPr>
      <w:r>
        <w:rPr>
          <w:b/>
          <w:bCs/>
          <w:color w:val="002060"/>
          <w:sz w:val="28"/>
          <w:szCs w:val="28"/>
        </w:rPr>
        <w:t>Student Statement:</w:t>
      </w:r>
    </w:p>
    <w:p w:rsidR="00342AEB" w:rsidRDefault="00342AEB">
      <w:pPr>
        <w:rPr>
          <w:b/>
          <w:bCs/>
          <w:color w:val="001AE6"/>
        </w:rPr>
      </w:pPr>
    </w:p>
    <w:p w:rsidR="00342AEB" w:rsidRDefault="00342AEB">
      <w:pPr>
        <w:rPr>
          <w:color w:val="000000"/>
        </w:rPr>
      </w:pPr>
      <w:r>
        <w:rPr>
          <w:color w:val="000000"/>
        </w:rPr>
        <w:t>By submitting this assignment, I confirm that this is my own work.</w:t>
      </w:r>
    </w:p>
    <w:p w:rsidR="00342AEB" w:rsidRDefault="00342AEB">
      <w:pPr>
        <w:rPr>
          <w:color w:val="000000"/>
        </w:rPr>
      </w:pPr>
    </w:p>
    <w:p w:rsidR="00342AEB" w:rsidRDefault="00342AEB">
      <w:pPr>
        <w:rPr>
          <w:color w:val="000000"/>
        </w:rPr>
      </w:pPr>
    </w:p>
    <w:p w:rsidR="00342AEB" w:rsidRDefault="00342AEB">
      <w:pPr>
        <w:rPr>
          <w:color w:val="000000"/>
        </w:rPr>
      </w:pPr>
    </w:p>
    <w:tbl>
      <w:tblPr>
        <w:tblW w:w="0" w:type="auto"/>
        <w:tblInd w:w="-8" w:type="dxa"/>
        <w:tblCellMar>
          <w:left w:w="10" w:type="dxa"/>
          <w:right w:w="10" w:type="dxa"/>
        </w:tblCellMar>
        <w:tblLook w:val="0000"/>
      </w:tblPr>
      <w:tblGrid>
        <w:gridCol w:w="2287"/>
        <w:gridCol w:w="3981"/>
        <w:gridCol w:w="1265"/>
        <w:gridCol w:w="1611"/>
      </w:tblGrid>
      <w:tr w:rsidR="00342AEB"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r>
              <w:t>31/05/15</w:t>
            </w:r>
          </w:p>
        </w:tc>
      </w:tr>
    </w:tbl>
    <w:p w:rsidR="00342AEB" w:rsidRDefault="00342AEB">
      <w:pPr>
        <w:spacing w:after="200" w:line="276" w:lineRule="auto"/>
        <w:rPr>
          <w:color w:val="000000"/>
        </w:rPr>
      </w:pPr>
    </w:p>
    <w:p w:rsidR="00342AEB" w:rsidRDefault="00342AEB">
      <w:pPr>
        <w:spacing w:after="200" w:line="276" w:lineRule="auto"/>
        <w:rPr>
          <w:color w:val="000000"/>
        </w:rPr>
      </w:pPr>
    </w:p>
    <w:p w:rsidR="00342AEB" w:rsidRDefault="00342AEB">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342AEB"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tc>
      </w:tr>
      <w:tr w:rsidR="00342AEB"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tc>
      </w:tr>
      <w:tr w:rsidR="00342AEB"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342AEB" w:rsidRDefault="00342AEB">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42AEB" w:rsidRDefault="00342AEB"/>
        </w:tc>
      </w:tr>
    </w:tbl>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p w:rsidR="00342AEB" w:rsidRDefault="00342AEB">
      <w:pPr>
        <w:spacing w:after="200" w:line="276" w:lineRule="auto"/>
        <w:rPr>
          <w:sz w:val="24"/>
          <w:szCs w:val="24"/>
        </w:rPr>
      </w:pPr>
    </w:p>
    <w:sectPr w:rsidR="00342AEB"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488010A0"/>
    <w:multiLevelType w:val="hybridMultilevel"/>
    <w:tmpl w:val="0526C916"/>
    <w:lvl w:ilvl="0" w:tplc="A0C8AFC8">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4E33388F"/>
    <w:multiLevelType w:val="hybridMultilevel"/>
    <w:tmpl w:val="35D23A3E"/>
    <w:lvl w:ilvl="0" w:tplc="49301830">
      <w:start w:val="6"/>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655B1E9C"/>
    <w:multiLevelType w:val="hybridMultilevel"/>
    <w:tmpl w:val="65306D5A"/>
    <w:lvl w:ilvl="0" w:tplc="1264F8CC">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65C61C82"/>
    <w:multiLevelType w:val="hybridMultilevel"/>
    <w:tmpl w:val="FA94B0C2"/>
    <w:lvl w:ilvl="0" w:tplc="A4BE876E">
      <w:start w:val="7"/>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 w:numId="4">
    <w:abstractNumId w:val="6"/>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A3493"/>
    <w:rsid w:val="000D4A77"/>
    <w:rsid w:val="00104B5A"/>
    <w:rsid w:val="00137D98"/>
    <w:rsid w:val="00146356"/>
    <w:rsid w:val="001C5845"/>
    <w:rsid w:val="001F6E5E"/>
    <w:rsid w:val="00207DFA"/>
    <w:rsid w:val="00210ED1"/>
    <w:rsid w:val="00235E4A"/>
    <w:rsid w:val="00240A56"/>
    <w:rsid w:val="002500F1"/>
    <w:rsid w:val="00263B3E"/>
    <w:rsid w:val="002A7C48"/>
    <w:rsid w:val="002F7016"/>
    <w:rsid w:val="00302FD6"/>
    <w:rsid w:val="00342AEB"/>
    <w:rsid w:val="00370801"/>
    <w:rsid w:val="00371648"/>
    <w:rsid w:val="00396584"/>
    <w:rsid w:val="00397184"/>
    <w:rsid w:val="003A6B86"/>
    <w:rsid w:val="003B7631"/>
    <w:rsid w:val="003E0882"/>
    <w:rsid w:val="003F58E8"/>
    <w:rsid w:val="003F6C6C"/>
    <w:rsid w:val="00440AAC"/>
    <w:rsid w:val="00445EE8"/>
    <w:rsid w:val="004E4CE7"/>
    <w:rsid w:val="00523458"/>
    <w:rsid w:val="00524FD1"/>
    <w:rsid w:val="00541BD8"/>
    <w:rsid w:val="005909A2"/>
    <w:rsid w:val="005F0D01"/>
    <w:rsid w:val="005F5191"/>
    <w:rsid w:val="0065445B"/>
    <w:rsid w:val="006B5ED4"/>
    <w:rsid w:val="006C099A"/>
    <w:rsid w:val="00700CAB"/>
    <w:rsid w:val="00705A5D"/>
    <w:rsid w:val="0071008A"/>
    <w:rsid w:val="007152D0"/>
    <w:rsid w:val="00723C8A"/>
    <w:rsid w:val="007734AD"/>
    <w:rsid w:val="007A79C8"/>
    <w:rsid w:val="007E368C"/>
    <w:rsid w:val="007F08A8"/>
    <w:rsid w:val="007F5B78"/>
    <w:rsid w:val="00824196"/>
    <w:rsid w:val="008327D3"/>
    <w:rsid w:val="00835373"/>
    <w:rsid w:val="0085538D"/>
    <w:rsid w:val="0087076E"/>
    <w:rsid w:val="008918B3"/>
    <w:rsid w:val="00897A35"/>
    <w:rsid w:val="008A391F"/>
    <w:rsid w:val="008B00E8"/>
    <w:rsid w:val="008F1685"/>
    <w:rsid w:val="009368CF"/>
    <w:rsid w:val="0094109F"/>
    <w:rsid w:val="00954E15"/>
    <w:rsid w:val="009904C9"/>
    <w:rsid w:val="00A01EEC"/>
    <w:rsid w:val="00A34188"/>
    <w:rsid w:val="00A64A56"/>
    <w:rsid w:val="00A902B4"/>
    <w:rsid w:val="00AA6D7E"/>
    <w:rsid w:val="00AB2631"/>
    <w:rsid w:val="00AD5890"/>
    <w:rsid w:val="00AE2CED"/>
    <w:rsid w:val="00AE762F"/>
    <w:rsid w:val="00AF5BD4"/>
    <w:rsid w:val="00B23119"/>
    <w:rsid w:val="00B52039"/>
    <w:rsid w:val="00B67247"/>
    <w:rsid w:val="00BA2DE7"/>
    <w:rsid w:val="00BB0760"/>
    <w:rsid w:val="00BC0262"/>
    <w:rsid w:val="00BE13FC"/>
    <w:rsid w:val="00BE4B58"/>
    <w:rsid w:val="00C01B7F"/>
    <w:rsid w:val="00C258D9"/>
    <w:rsid w:val="00C33F6B"/>
    <w:rsid w:val="00CB796A"/>
    <w:rsid w:val="00CC7661"/>
    <w:rsid w:val="00CD0D7C"/>
    <w:rsid w:val="00D2189F"/>
    <w:rsid w:val="00D67E6D"/>
    <w:rsid w:val="00D85714"/>
    <w:rsid w:val="00D9001B"/>
    <w:rsid w:val="00DA4B93"/>
    <w:rsid w:val="00DB119F"/>
    <w:rsid w:val="00DC71E8"/>
    <w:rsid w:val="00DF00E5"/>
    <w:rsid w:val="00E000A9"/>
    <w:rsid w:val="00E42502"/>
    <w:rsid w:val="00E733C9"/>
    <w:rsid w:val="00EB6AE8"/>
    <w:rsid w:val="00EB7A1F"/>
    <w:rsid w:val="00ED1F33"/>
    <w:rsid w:val="00ED6484"/>
    <w:rsid w:val="00ED78D7"/>
    <w:rsid w:val="00EE448E"/>
    <w:rsid w:val="00F42153"/>
    <w:rsid w:val="00F77028"/>
    <w:rsid w:val="00F875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16734907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9</Pages>
  <Words>2054</Words>
  <Characters>11714</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2</cp:revision>
  <dcterms:created xsi:type="dcterms:W3CDTF">2015-05-31T18:31:00Z</dcterms:created>
  <dcterms:modified xsi:type="dcterms:W3CDTF">2015-05-31T18:31:00Z</dcterms:modified>
</cp:coreProperties>
</file>