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C66" w:rsidRPr="00B0415E" w:rsidRDefault="00317C66" w:rsidP="00317C66">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317C66" w:rsidRDefault="00317C66" w:rsidP="00317C66">
      <w:pPr>
        <w:rPr>
          <w:lang w:val="en-US"/>
        </w:rPr>
      </w:pPr>
      <w:r w:rsidRPr="007E6DA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317C66" w:rsidRDefault="00317C66" w:rsidP="00317C66">
                  <w:pPr>
                    <w:jc w:val="center"/>
                    <w:rPr>
                      <w:b/>
                      <w:bCs/>
                      <w:color w:val="002060"/>
                      <w:sz w:val="44"/>
                      <w:szCs w:val="40"/>
                    </w:rPr>
                  </w:pPr>
                  <w:r>
                    <w:rPr>
                      <w:sz w:val="24"/>
                    </w:rPr>
                    <w:t xml:space="preserve">   </w:t>
                  </w:r>
                  <w:r>
                    <w:rPr>
                      <w:b/>
                      <w:bCs/>
                      <w:color w:val="002060"/>
                      <w:sz w:val="44"/>
                      <w:szCs w:val="40"/>
                    </w:rPr>
                    <w:t>Assignment Cover Sheet</w:t>
                  </w:r>
                </w:p>
                <w:p w:rsidR="00317C66" w:rsidRDefault="00317C66" w:rsidP="00317C66"/>
              </w:txbxContent>
            </v:textbox>
          </v:shape>
        </w:pict>
      </w:r>
    </w:p>
    <w:p w:rsidR="00317C66" w:rsidRDefault="00317C66" w:rsidP="00317C66">
      <w:pPr>
        <w:rPr>
          <w:lang w:val="en-US"/>
        </w:rPr>
      </w:pPr>
    </w:p>
    <w:p w:rsidR="00317C66" w:rsidRDefault="00317C66" w:rsidP="00317C66">
      <w:pPr>
        <w:rPr>
          <w:lang w:val="en-US"/>
        </w:rPr>
      </w:pPr>
    </w:p>
    <w:p w:rsidR="00317C66" w:rsidRDefault="00317C66" w:rsidP="00317C66">
      <w:pPr>
        <w:rPr>
          <w:lang w:val="en-US"/>
        </w:rPr>
      </w:pPr>
    </w:p>
    <w:tbl>
      <w:tblPr>
        <w:tblStyle w:val="TableGrid"/>
        <w:tblW w:w="0" w:type="auto"/>
        <w:tblLook w:val="04A0"/>
      </w:tblPr>
      <w:tblGrid>
        <w:gridCol w:w="2566"/>
        <w:gridCol w:w="6676"/>
      </w:tblGrid>
      <w:tr w:rsidR="00317C66" w:rsidRPr="00B0415E" w:rsidTr="00BB10C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7C66" w:rsidRPr="00B0415E" w:rsidRDefault="00317C66" w:rsidP="00BB10C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17C66" w:rsidRPr="00B0415E" w:rsidRDefault="00317C66" w:rsidP="00BB10CB">
            <w:pPr>
              <w:pStyle w:val="Default"/>
              <w:rPr>
                <w:rFonts w:asciiTheme="minorHAnsi" w:hAnsiTheme="minorHAnsi"/>
              </w:rPr>
            </w:pPr>
            <w:r>
              <w:rPr>
                <w:rFonts w:asciiTheme="minorHAnsi" w:hAnsiTheme="minorHAnsi"/>
              </w:rPr>
              <w:t>Joanne O Sullivan</w:t>
            </w:r>
          </w:p>
        </w:tc>
      </w:tr>
      <w:tr w:rsidR="00317C66" w:rsidRPr="00B0415E" w:rsidTr="00BB10C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7C66" w:rsidRPr="00B0415E" w:rsidRDefault="00317C66" w:rsidP="00BB10C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17C66" w:rsidRPr="00B0415E" w:rsidRDefault="00317C66" w:rsidP="00BB10CB">
            <w:pPr>
              <w:pStyle w:val="Default"/>
              <w:rPr>
                <w:rFonts w:asciiTheme="minorHAnsi" w:hAnsiTheme="minorHAnsi"/>
              </w:rPr>
            </w:pPr>
            <w:r>
              <w:rPr>
                <w:rFonts w:asciiTheme="minorHAnsi" w:hAnsiTheme="minorHAnsi"/>
              </w:rPr>
              <w:t>1269</w:t>
            </w:r>
          </w:p>
        </w:tc>
      </w:tr>
      <w:tr w:rsidR="00317C66" w:rsidRPr="00B0415E" w:rsidTr="00BB10C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7C66" w:rsidRPr="00B0415E" w:rsidRDefault="00317C66" w:rsidP="00BB10C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17C66" w:rsidRPr="00B0415E" w:rsidRDefault="00317C66" w:rsidP="00BB10CB">
            <w:pPr>
              <w:pStyle w:val="Default"/>
              <w:rPr>
                <w:rFonts w:asciiTheme="minorHAnsi" w:hAnsiTheme="minorHAnsi"/>
              </w:rPr>
            </w:pPr>
            <w:r>
              <w:rPr>
                <w:rFonts w:asciiTheme="minorHAnsi" w:hAnsiTheme="minorHAnsi"/>
              </w:rPr>
              <w:t>Diploma in Forensic Accounting</w:t>
            </w:r>
          </w:p>
        </w:tc>
      </w:tr>
      <w:tr w:rsidR="00317C66" w:rsidRPr="00B0415E" w:rsidTr="00BB10C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17C66" w:rsidRPr="00B0415E" w:rsidRDefault="00317C66" w:rsidP="00BB10C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17C66" w:rsidRPr="00B0415E" w:rsidRDefault="00317C66" w:rsidP="00BB10CB">
            <w:r>
              <w:t>6</w:t>
            </w:r>
          </w:p>
        </w:tc>
      </w:tr>
    </w:tbl>
    <w:p w:rsidR="00317C66" w:rsidRDefault="00317C66" w:rsidP="00317C66">
      <w:pPr>
        <w:rPr>
          <w:b/>
          <w:lang w:val="en-US"/>
        </w:rPr>
      </w:pPr>
    </w:p>
    <w:tbl>
      <w:tblPr>
        <w:tblStyle w:val="TableGrid"/>
        <w:tblW w:w="0" w:type="auto"/>
        <w:tblLook w:val="04A0"/>
      </w:tblPr>
      <w:tblGrid>
        <w:gridCol w:w="9242"/>
      </w:tblGrid>
      <w:tr w:rsidR="00317C66" w:rsidTr="00BB10CB">
        <w:tc>
          <w:tcPr>
            <w:tcW w:w="9242" w:type="dxa"/>
          </w:tcPr>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Pr="000562C8" w:rsidRDefault="00317C66" w:rsidP="00317C66">
            <w:pPr>
              <w:pStyle w:val="ListParagraph"/>
              <w:numPr>
                <w:ilvl w:val="0"/>
                <w:numId w:val="1"/>
              </w:numPr>
              <w:rPr>
                <w:rFonts w:ascii="Arial" w:hAnsi="Arial" w:cs="Arial"/>
                <w:color w:val="FF0000"/>
                <w:sz w:val="24"/>
                <w:szCs w:val="24"/>
              </w:rPr>
            </w:pPr>
            <w:r w:rsidRPr="000562C8">
              <w:rPr>
                <w:rFonts w:ascii="Arial" w:hAnsi="Arial" w:cs="Arial"/>
                <w:color w:val="FF0000"/>
                <w:sz w:val="24"/>
                <w:szCs w:val="24"/>
              </w:rPr>
              <w:t>(</w:t>
            </w:r>
            <w:proofErr w:type="spellStart"/>
            <w:r w:rsidRPr="000562C8">
              <w:rPr>
                <w:rFonts w:ascii="Arial" w:hAnsi="Arial" w:cs="Arial"/>
                <w:color w:val="FF0000"/>
                <w:sz w:val="24"/>
                <w:szCs w:val="24"/>
              </w:rPr>
              <w:t>i</w:t>
            </w:r>
            <w:proofErr w:type="spellEnd"/>
            <w:r w:rsidRPr="000562C8">
              <w:rPr>
                <w:rFonts w:ascii="Arial" w:hAnsi="Arial" w:cs="Arial"/>
                <w:color w:val="FF0000"/>
                <w:sz w:val="24"/>
                <w:szCs w:val="24"/>
              </w:rPr>
              <w:t>)</w:t>
            </w:r>
            <w:r w:rsidRPr="000562C8">
              <w:rPr>
                <w:rFonts w:ascii="Arial" w:hAnsi="Arial" w:cs="Arial"/>
                <w:color w:val="FF0000"/>
                <w:sz w:val="24"/>
                <w:szCs w:val="24"/>
              </w:rPr>
              <w:tab/>
              <w:t>What is meant by the term ‘best evidence’?</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The term best evidence means that all evidence submitted to prove a claim must be original.  Submission of best evidence is required in all cases.   Proper collection and submission of the original documents is usually required by courts in some cases they will allow copies to be used.  When original evidence is not available, the offering party must generally offer both evidence to show why it is unavailable.</w:t>
            </w:r>
          </w:p>
          <w:p w:rsidR="00317C66" w:rsidRDefault="00317C66" w:rsidP="00317C66">
            <w:pPr>
              <w:pStyle w:val="ListParagraph"/>
              <w:rPr>
                <w:rFonts w:ascii="Arial" w:hAnsi="Arial" w:cs="Arial"/>
                <w:sz w:val="24"/>
                <w:szCs w:val="24"/>
              </w:rPr>
            </w:pPr>
          </w:p>
          <w:p w:rsidR="00317C66" w:rsidRDefault="00317C66" w:rsidP="00317C66">
            <w:pPr>
              <w:pStyle w:val="ListParagraph"/>
              <w:ind w:left="1440" w:hanging="720"/>
              <w:rPr>
                <w:rFonts w:ascii="Arial" w:hAnsi="Arial" w:cs="Arial"/>
                <w:sz w:val="24"/>
                <w:szCs w:val="24"/>
              </w:rPr>
            </w:pPr>
          </w:p>
          <w:p w:rsidR="00317C66" w:rsidRDefault="00317C66" w:rsidP="00317C66">
            <w:pPr>
              <w:pStyle w:val="ListParagraph"/>
              <w:ind w:left="1440" w:hanging="720"/>
              <w:rPr>
                <w:rFonts w:ascii="Arial" w:hAnsi="Arial" w:cs="Arial"/>
                <w:sz w:val="24"/>
                <w:szCs w:val="24"/>
              </w:rPr>
            </w:pPr>
          </w:p>
          <w:p w:rsidR="00317C66" w:rsidRDefault="00317C66" w:rsidP="00317C66">
            <w:pPr>
              <w:pStyle w:val="ListParagraph"/>
              <w:ind w:left="1440" w:hanging="720"/>
              <w:rPr>
                <w:rFonts w:ascii="Arial" w:hAnsi="Arial" w:cs="Arial"/>
                <w:sz w:val="24"/>
                <w:szCs w:val="24"/>
              </w:rPr>
            </w:pPr>
          </w:p>
          <w:p w:rsidR="00317C66" w:rsidRDefault="00317C66" w:rsidP="00317C66">
            <w:pPr>
              <w:pStyle w:val="ListParagraph"/>
              <w:ind w:left="1440" w:hanging="720"/>
              <w:rPr>
                <w:rFonts w:ascii="Arial" w:hAnsi="Arial" w:cs="Arial"/>
                <w:sz w:val="24"/>
                <w:szCs w:val="24"/>
              </w:rPr>
            </w:pPr>
          </w:p>
          <w:p w:rsidR="00317C66" w:rsidRPr="000562C8" w:rsidRDefault="00317C66" w:rsidP="00317C66">
            <w:pPr>
              <w:pStyle w:val="ListParagraph"/>
              <w:ind w:left="1440" w:hanging="720"/>
              <w:rPr>
                <w:rFonts w:ascii="Arial" w:hAnsi="Arial" w:cs="Arial"/>
                <w:color w:val="FF0000"/>
                <w:sz w:val="24"/>
                <w:szCs w:val="24"/>
              </w:rPr>
            </w:pPr>
            <w:r w:rsidRPr="00317C66">
              <w:rPr>
                <w:rFonts w:ascii="Arial" w:hAnsi="Arial" w:cs="Arial"/>
                <w:color w:val="FF0000"/>
                <w:sz w:val="24"/>
                <w:szCs w:val="24"/>
              </w:rPr>
              <w:t>(ii)</w:t>
            </w:r>
            <w:r>
              <w:rPr>
                <w:rFonts w:ascii="Arial" w:hAnsi="Arial" w:cs="Arial"/>
                <w:sz w:val="24"/>
                <w:szCs w:val="24"/>
              </w:rPr>
              <w:tab/>
            </w:r>
            <w:r w:rsidRPr="000562C8">
              <w:rPr>
                <w:rFonts w:ascii="Arial" w:hAnsi="Arial" w:cs="Arial"/>
                <w:color w:val="FF0000"/>
                <w:sz w:val="24"/>
                <w:szCs w:val="24"/>
              </w:rPr>
              <w:t>Why it is important to keep the collected evidence in a well organised manner?</w:t>
            </w:r>
          </w:p>
          <w:p w:rsidR="00317C66" w:rsidRDefault="00317C66" w:rsidP="00317C66">
            <w:pPr>
              <w:pStyle w:val="ListParagraph"/>
              <w:ind w:left="1440" w:hanging="720"/>
              <w:rPr>
                <w:rFonts w:ascii="Arial" w:hAnsi="Arial" w:cs="Arial"/>
                <w:color w:val="FF0000"/>
                <w:sz w:val="24"/>
                <w:szCs w:val="24"/>
              </w:rPr>
            </w:pPr>
          </w:p>
          <w:p w:rsidR="00317C66" w:rsidRPr="000562C8" w:rsidRDefault="00317C66" w:rsidP="00317C66">
            <w:pPr>
              <w:pStyle w:val="ListParagraph"/>
              <w:ind w:left="1440" w:hanging="720"/>
              <w:rPr>
                <w:rFonts w:ascii="Arial" w:hAnsi="Arial" w:cs="Arial"/>
                <w:color w:val="FF0000"/>
                <w:sz w:val="24"/>
                <w:szCs w:val="24"/>
              </w:rPr>
            </w:pPr>
          </w:p>
          <w:p w:rsidR="00317C66" w:rsidRDefault="00317C66" w:rsidP="00317C66">
            <w:pPr>
              <w:pStyle w:val="ListParagraph"/>
              <w:ind w:left="0" w:firstLine="720"/>
              <w:rPr>
                <w:rFonts w:ascii="Arial" w:hAnsi="Arial" w:cs="Arial"/>
                <w:sz w:val="24"/>
                <w:szCs w:val="24"/>
              </w:rPr>
            </w:pPr>
          </w:p>
          <w:p w:rsidR="00317C66" w:rsidRDefault="00317C66" w:rsidP="00317C66">
            <w:pPr>
              <w:pStyle w:val="ListParagraph"/>
              <w:ind w:left="0" w:firstLine="720"/>
              <w:rPr>
                <w:rFonts w:ascii="Arial" w:hAnsi="Arial" w:cs="Arial"/>
                <w:sz w:val="24"/>
                <w:szCs w:val="24"/>
              </w:rPr>
            </w:pPr>
            <w:r>
              <w:rPr>
                <w:rFonts w:ascii="Arial" w:hAnsi="Arial" w:cs="Arial"/>
                <w:sz w:val="24"/>
                <w:szCs w:val="24"/>
              </w:rPr>
              <w:t xml:space="preserve">Financial Crime investigations are document intensive and require careful </w:t>
            </w:r>
          </w:p>
          <w:p w:rsidR="00317C66" w:rsidRDefault="00317C66" w:rsidP="00317C66">
            <w:pPr>
              <w:pStyle w:val="ListParagraph"/>
              <w:ind w:left="0" w:firstLine="720"/>
              <w:rPr>
                <w:rFonts w:ascii="Arial" w:hAnsi="Arial" w:cs="Arial"/>
                <w:sz w:val="24"/>
                <w:szCs w:val="24"/>
              </w:rPr>
            </w:pPr>
            <w:r>
              <w:rPr>
                <w:rFonts w:ascii="Arial" w:hAnsi="Arial" w:cs="Arial"/>
                <w:sz w:val="24"/>
                <w:szCs w:val="24"/>
              </w:rPr>
              <w:t>Collection, storage and organisation.</w:t>
            </w:r>
          </w:p>
          <w:p w:rsidR="00317C66" w:rsidRDefault="00317C66" w:rsidP="00317C66">
            <w:pPr>
              <w:pStyle w:val="ListParagraph"/>
              <w:ind w:left="1440" w:hanging="720"/>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 xml:space="preserve">Evidence should be carefully secured to ensure that no damage can occur to it.  The goal of any search should be the safe and efficient collection of all items authorised under the particular warrant.  </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 xml:space="preserve">The key to any case is the integrity of the evidence.  Obtaining authentic evidence is of most importance.  The investigator must properly store and work with the evidence to ensure further issues do not arise. Each item should be carefully numbered in an organised format. </w:t>
            </w:r>
          </w:p>
          <w:p w:rsidR="00317C66" w:rsidRDefault="00317C66" w:rsidP="00317C66">
            <w:pPr>
              <w:pStyle w:val="ListParagraph"/>
              <w:rPr>
                <w:rFonts w:ascii="Arial" w:hAnsi="Arial" w:cs="Arial"/>
                <w:sz w:val="24"/>
                <w:szCs w:val="24"/>
              </w:rPr>
            </w:pPr>
          </w:p>
          <w:p w:rsidR="00317C66" w:rsidRPr="000562C8" w:rsidRDefault="00317C66" w:rsidP="00317C66">
            <w:pPr>
              <w:pStyle w:val="ListParagraph"/>
              <w:rPr>
                <w:rFonts w:ascii="Arial" w:hAnsi="Arial" w:cs="Arial"/>
                <w:color w:val="FF0000"/>
                <w:sz w:val="24"/>
                <w:szCs w:val="24"/>
              </w:rPr>
            </w:pPr>
            <w:r w:rsidRPr="00317C66">
              <w:rPr>
                <w:rFonts w:ascii="Arial" w:hAnsi="Arial" w:cs="Arial"/>
                <w:color w:val="FF0000"/>
                <w:sz w:val="24"/>
                <w:szCs w:val="24"/>
              </w:rPr>
              <w:lastRenderedPageBreak/>
              <w:t>(iii)</w:t>
            </w:r>
            <w:r>
              <w:rPr>
                <w:rFonts w:ascii="Arial" w:hAnsi="Arial" w:cs="Arial"/>
                <w:sz w:val="24"/>
                <w:szCs w:val="24"/>
              </w:rPr>
              <w:tab/>
            </w:r>
            <w:r w:rsidRPr="000562C8">
              <w:rPr>
                <w:rFonts w:ascii="Arial" w:hAnsi="Arial" w:cs="Arial"/>
                <w:color w:val="FF0000"/>
                <w:sz w:val="24"/>
                <w:szCs w:val="24"/>
              </w:rPr>
              <w:t>List the devices which could help when collecting evidence</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 xml:space="preserve">There are many electronic mobile devices on the market that can store large amounts of personal and organisational information.  These mobile devices contain electronic records of information such as email, word files, spreadsheets, text messages, GPS tracking information etc.  Such electronic devices can play a vital part in the investigative process.  </w:t>
            </w:r>
          </w:p>
          <w:p w:rsidR="00317C66" w:rsidRDefault="00317C66" w:rsidP="00317C66">
            <w:pPr>
              <w:pStyle w:val="ListParagraph"/>
              <w:rPr>
                <w:rFonts w:ascii="Arial" w:hAnsi="Arial" w:cs="Arial"/>
                <w:sz w:val="24"/>
                <w:szCs w:val="24"/>
              </w:rPr>
            </w:pPr>
            <w:r>
              <w:rPr>
                <w:rFonts w:ascii="Arial" w:hAnsi="Arial" w:cs="Arial"/>
                <w:sz w:val="24"/>
                <w:szCs w:val="24"/>
              </w:rPr>
              <w:t xml:space="preserve">While new technology can have all the necessary information stored in one location </w:t>
            </w:r>
            <w:proofErr w:type="spellStart"/>
            <w:r>
              <w:rPr>
                <w:rFonts w:ascii="Arial" w:hAnsi="Arial" w:cs="Arial"/>
                <w:sz w:val="24"/>
                <w:szCs w:val="24"/>
              </w:rPr>
              <w:t>ie</w:t>
            </w:r>
            <w:proofErr w:type="spellEnd"/>
            <w:r>
              <w:rPr>
                <w:rFonts w:ascii="Arial" w:hAnsi="Arial" w:cs="Arial"/>
                <w:sz w:val="24"/>
                <w:szCs w:val="24"/>
              </w:rPr>
              <w:t xml:space="preserve">. The mobile device the investigator will also be vigilant in searching other devices also. </w:t>
            </w:r>
            <w:proofErr w:type="gramStart"/>
            <w:r>
              <w:rPr>
                <w:rFonts w:ascii="Arial" w:hAnsi="Arial" w:cs="Arial"/>
                <w:sz w:val="24"/>
                <w:szCs w:val="24"/>
              </w:rPr>
              <w:t>i.e</w:t>
            </w:r>
            <w:proofErr w:type="gramEnd"/>
            <w:r>
              <w:rPr>
                <w:rFonts w:ascii="Arial" w:hAnsi="Arial" w:cs="Arial"/>
                <w:sz w:val="24"/>
                <w:szCs w:val="24"/>
              </w:rPr>
              <w:t>. fax machine – the toner cartridge when analysed will provide details on all the faxes received.</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 xml:space="preserve">Other devices: </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Paging Devices</w:t>
            </w:r>
          </w:p>
          <w:p w:rsidR="00317C66" w:rsidRDefault="00317C66" w:rsidP="00317C66">
            <w:pPr>
              <w:pStyle w:val="ListParagraph"/>
              <w:rPr>
                <w:rFonts w:ascii="Arial" w:hAnsi="Arial" w:cs="Arial"/>
                <w:sz w:val="24"/>
                <w:szCs w:val="24"/>
              </w:rPr>
            </w:pPr>
            <w:r>
              <w:rPr>
                <w:rFonts w:ascii="Arial" w:hAnsi="Arial" w:cs="Arial"/>
                <w:sz w:val="24"/>
                <w:szCs w:val="24"/>
              </w:rPr>
              <w:t>Caller ID Devices</w:t>
            </w:r>
          </w:p>
          <w:p w:rsidR="00317C66" w:rsidRDefault="00317C66" w:rsidP="00317C66">
            <w:pPr>
              <w:pStyle w:val="ListParagraph"/>
              <w:rPr>
                <w:rFonts w:ascii="Arial" w:hAnsi="Arial" w:cs="Arial"/>
                <w:sz w:val="24"/>
                <w:szCs w:val="24"/>
              </w:rPr>
            </w:pPr>
            <w:r>
              <w:rPr>
                <w:rFonts w:ascii="Arial" w:hAnsi="Arial" w:cs="Arial"/>
                <w:sz w:val="24"/>
                <w:szCs w:val="24"/>
              </w:rPr>
              <w:t>Digital Cameras</w:t>
            </w:r>
          </w:p>
          <w:p w:rsidR="00317C66" w:rsidRDefault="00317C66" w:rsidP="00317C66">
            <w:pPr>
              <w:pStyle w:val="ListParagraph"/>
              <w:rPr>
                <w:rFonts w:ascii="Arial" w:hAnsi="Arial" w:cs="Arial"/>
                <w:sz w:val="24"/>
                <w:szCs w:val="24"/>
              </w:rPr>
            </w:pPr>
            <w:r>
              <w:rPr>
                <w:rFonts w:ascii="Arial" w:hAnsi="Arial" w:cs="Arial"/>
                <w:sz w:val="24"/>
                <w:szCs w:val="24"/>
              </w:rPr>
              <w:t>Printers</w:t>
            </w:r>
          </w:p>
          <w:p w:rsidR="00317C66" w:rsidRDefault="00317C66" w:rsidP="00317C66">
            <w:pPr>
              <w:pStyle w:val="ListParagraph"/>
              <w:rPr>
                <w:rFonts w:ascii="Arial" w:hAnsi="Arial" w:cs="Arial"/>
                <w:sz w:val="24"/>
                <w:szCs w:val="24"/>
              </w:rPr>
            </w:pPr>
            <w:r>
              <w:rPr>
                <w:rFonts w:ascii="Arial" w:hAnsi="Arial" w:cs="Arial"/>
                <w:sz w:val="24"/>
                <w:szCs w:val="24"/>
              </w:rPr>
              <w:t>Scanners</w:t>
            </w:r>
          </w:p>
          <w:p w:rsidR="00317C66" w:rsidRDefault="00317C66" w:rsidP="00317C66">
            <w:pPr>
              <w:pStyle w:val="ListParagraph"/>
              <w:rPr>
                <w:rFonts w:ascii="Arial" w:hAnsi="Arial" w:cs="Arial"/>
                <w:sz w:val="24"/>
                <w:szCs w:val="24"/>
              </w:rPr>
            </w:pPr>
            <w:r>
              <w:rPr>
                <w:rFonts w:ascii="Arial" w:hAnsi="Arial" w:cs="Arial"/>
                <w:sz w:val="24"/>
                <w:szCs w:val="24"/>
              </w:rPr>
              <w:t>CD Duplicators</w:t>
            </w:r>
          </w:p>
          <w:p w:rsidR="00317C66" w:rsidRDefault="00317C66" w:rsidP="00317C66">
            <w:pPr>
              <w:pStyle w:val="ListParagraph"/>
              <w:rPr>
                <w:rFonts w:ascii="Arial" w:hAnsi="Arial" w:cs="Arial"/>
                <w:sz w:val="24"/>
                <w:szCs w:val="24"/>
              </w:rPr>
            </w:pPr>
            <w:r>
              <w:rPr>
                <w:rFonts w:ascii="Arial" w:hAnsi="Arial" w:cs="Arial"/>
                <w:sz w:val="24"/>
                <w:szCs w:val="24"/>
              </w:rPr>
              <w:t>Electronic Game Devices</w:t>
            </w:r>
          </w:p>
          <w:p w:rsidR="00317C66" w:rsidRDefault="00317C66" w:rsidP="00317C66">
            <w:pPr>
              <w:pStyle w:val="ListParagraph"/>
              <w:rPr>
                <w:rFonts w:ascii="Arial" w:hAnsi="Arial" w:cs="Arial"/>
                <w:sz w:val="24"/>
                <w:szCs w:val="24"/>
              </w:rPr>
            </w:pPr>
            <w:r>
              <w:rPr>
                <w:rFonts w:ascii="Arial" w:hAnsi="Arial" w:cs="Arial"/>
                <w:sz w:val="24"/>
                <w:szCs w:val="24"/>
              </w:rPr>
              <w:t>Storage Media</w:t>
            </w:r>
          </w:p>
          <w:p w:rsidR="00317C66" w:rsidRDefault="00317C66" w:rsidP="00317C66">
            <w:pPr>
              <w:pStyle w:val="ListParagraph"/>
              <w:rPr>
                <w:rFonts w:ascii="Arial" w:hAnsi="Arial" w:cs="Arial"/>
                <w:sz w:val="24"/>
                <w:szCs w:val="24"/>
              </w:rPr>
            </w:pPr>
            <w:r>
              <w:rPr>
                <w:rFonts w:ascii="Arial" w:hAnsi="Arial" w:cs="Arial"/>
                <w:sz w:val="24"/>
                <w:szCs w:val="24"/>
              </w:rPr>
              <w:t>Vehicle computer devices</w:t>
            </w:r>
          </w:p>
          <w:p w:rsidR="00317C66" w:rsidRDefault="00317C66" w:rsidP="00317C66">
            <w:pPr>
              <w:pStyle w:val="ListParagraph"/>
              <w:rPr>
                <w:rFonts w:ascii="Arial" w:hAnsi="Arial" w:cs="Arial"/>
                <w:sz w:val="24"/>
                <w:szCs w:val="24"/>
              </w:rPr>
            </w:pPr>
            <w:r>
              <w:rPr>
                <w:rFonts w:ascii="Arial" w:hAnsi="Arial" w:cs="Arial"/>
                <w:sz w:val="24"/>
                <w:szCs w:val="24"/>
              </w:rPr>
              <w:t>Network Servers</w:t>
            </w:r>
          </w:p>
          <w:p w:rsidR="00317C66" w:rsidRDefault="00317C66" w:rsidP="00317C66">
            <w:pPr>
              <w:pStyle w:val="ListParagraph"/>
              <w:rPr>
                <w:rFonts w:ascii="Arial" w:hAnsi="Arial" w:cs="Arial"/>
                <w:sz w:val="24"/>
                <w:szCs w:val="24"/>
              </w:rPr>
            </w:pPr>
            <w:r>
              <w:rPr>
                <w:rFonts w:ascii="Arial" w:hAnsi="Arial" w:cs="Arial"/>
                <w:sz w:val="24"/>
                <w:szCs w:val="24"/>
              </w:rPr>
              <w:t>PDA’s and blackberry devices</w:t>
            </w:r>
          </w:p>
          <w:p w:rsidR="00317C66" w:rsidRPr="005C3F4D" w:rsidRDefault="00317C66" w:rsidP="00317C66">
            <w:pPr>
              <w:pStyle w:val="ListParagraph"/>
              <w:rPr>
                <w:rFonts w:ascii="Arial" w:hAnsi="Arial" w:cs="Arial"/>
                <w:sz w:val="24"/>
                <w:szCs w:val="24"/>
              </w:rPr>
            </w:pPr>
          </w:p>
          <w:p w:rsidR="00317C66" w:rsidRPr="000562C8" w:rsidRDefault="00317C66" w:rsidP="00317C66">
            <w:pPr>
              <w:pStyle w:val="ListParagraph"/>
              <w:rPr>
                <w:rFonts w:ascii="Arial" w:hAnsi="Arial" w:cs="Arial"/>
                <w:color w:val="FF0000"/>
                <w:sz w:val="24"/>
                <w:szCs w:val="24"/>
              </w:rPr>
            </w:pPr>
          </w:p>
          <w:p w:rsidR="00317C66" w:rsidRPr="000562C8" w:rsidRDefault="00317C66" w:rsidP="00317C66">
            <w:pPr>
              <w:pStyle w:val="ListParagraph"/>
              <w:rPr>
                <w:rFonts w:ascii="Arial" w:hAnsi="Arial" w:cs="Arial"/>
                <w:color w:val="FF0000"/>
                <w:sz w:val="24"/>
                <w:szCs w:val="24"/>
              </w:rPr>
            </w:pPr>
            <w:r w:rsidRPr="000562C8">
              <w:rPr>
                <w:rFonts w:ascii="Arial" w:hAnsi="Arial" w:cs="Arial"/>
                <w:color w:val="FF0000"/>
                <w:sz w:val="24"/>
                <w:szCs w:val="24"/>
              </w:rPr>
              <w:t>(iv)</w:t>
            </w:r>
            <w:r w:rsidRPr="000562C8">
              <w:rPr>
                <w:rFonts w:ascii="Arial" w:hAnsi="Arial" w:cs="Arial"/>
                <w:color w:val="FF0000"/>
                <w:sz w:val="24"/>
                <w:szCs w:val="24"/>
              </w:rPr>
              <w:tab/>
              <w:t>Which points should be considered when planning for the evidence gathering process?</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Planning for the evidence gathering process is vital and the following points should be considered:</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Storage rooms for records where are they located on site or off site</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Documents relating to outsourced functions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 xml:space="preserve">Internal audit plan </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Imaging equipment for invoices, contracts etc</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Files retained at employees homes and pc’s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Presence and storage of employee files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File maintenance procedures which can vary between entities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Organisational and Reporting charts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Storage Location for computerised records</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Maintenance of past and present employees of the entity</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Standby procedures for email, servers, hard drives and details of any recorded lost information</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 xml:space="preserve">Clients record maintenance policies </w:t>
            </w:r>
          </w:p>
          <w:p w:rsidR="00317C66" w:rsidRDefault="00317C66" w:rsidP="00317C66">
            <w:pPr>
              <w:pStyle w:val="ListParagraph"/>
              <w:numPr>
                <w:ilvl w:val="0"/>
                <w:numId w:val="2"/>
              </w:numPr>
              <w:rPr>
                <w:rFonts w:ascii="Arial" w:hAnsi="Arial" w:cs="Arial"/>
                <w:sz w:val="24"/>
                <w:szCs w:val="24"/>
              </w:rPr>
            </w:pPr>
            <w:r>
              <w:rPr>
                <w:rFonts w:ascii="Arial" w:hAnsi="Arial" w:cs="Arial"/>
                <w:sz w:val="24"/>
                <w:szCs w:val="24"/>
              </w:rPr>
              <w:t>System modifications</w:t>
            </w: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p>
          <w:p w:rsidR="00317C66" w:rsidRPr="00317C66" w:rsidRDefault="00317C66" w:rsidP="00317C66">
            <w:pPr>
              <w:rPr>
                <w:rFonts w:ascii="Arial" w:hAnsi="Arial" w:cs="Arial"/>
                <w:sz w:val="24"/>
                <w:szCs w:val="24"/>
              </w:rPr>
            </w:pPr>
          </w:p>
          <w:p w:rsidR="00317C66" w:rsidRPr="00317C66" w:rsidRDefault="00317C66" w:rsidP="00317C66">
            <w:pPr>
              <w:rPr>
                <w:rFonts w:ascii="Arial" w:hAnsi="Arial" w:cs="Arial"/>
                <w:color w:val="FF0000"/>
                <w:sz w:val="24"/>
                <w:szCs w:val="24"/>
              </w:rPr>
            </w:pPr>
            <w:r w:rsidRPr="00317C66">
              <w:rPr>
                <w:rFonts w:ascii="Arial" w:hAnsi="Arial" w:cs="Arial"/>
                <w:color w:val="FF0000"/>
                <w:sz w:val="24"/>
                <w:szCs w:val="24"/>
              </w:rPr>
              <w:t>(v)</w:t>
            </w:r>
            <w:r w:rsidRPr="00317C66">
              <w:rPr>
                <w:rFonts w:ascii="Arial" w:hAnsi="Arial" w:cs="Arial"/>
                <w:color w:val="FF0000"/>
                <w:sz w:val="24"/>
                <w:szCs w:val="24"/>
              </w:rPr>
              <w:tab/>
              <w:t>What are the ‘working papers’? Which type of information do they contain?</w:t>
            </w:r>
          </w:p>
          <w:p w:rsidR="00317C66" w:rsidRDefault="00317C66" w:rsidP="00317C66">
            <w:pPr>
              <w:rPr>
                <w:rFonts w:ascii="Arial" w:hAnsi="Arial" w:cs="Arial"/>
                <w:sz w:val="24"/>
                <w:szCs w:val="24"/>
              </w:rPr>
            </w:pPr>
          </w:p>
          <w:p w:rsidR="00317C66" w:rsidRDefault="00317C66" w:rsidP="00317C66">
            <w:pPr>
              <w:rPr>
                <w:rFonts w:ascii="Arial" w:hAnsi="Arial" w:cs="Arial"/>
                <w:sz w:val="24"/>
                <w:szCs w:val="24"/>
              </w:rPr>
            </w:pPr>
            <w:r>
              <w:rPr>
                <w:rFonts w:ascii="Arial" w:hAnsi="Arial" w:cs="Arial"/>
                <w:sz w:val="24"/>
                <w:szCs w:val="24"/>
              </w:rPr>
              <w:t>Working papers are produced by the forensic accounting team and are an analysis and summary of the factual material discovered during the investigation.  Working papers are often used during court cases.  Most Forensic Investigators would be obliged by law to retain them for regulatory purposes.</w:t>
            </w:r>
          </w:p>
          <w:p w:rsidR="00317C66" w:rsidRDefault="00317C66" w:rsidP="00317C66">
            <w:pPr>
              <w:rPr>
                <w:rFonts w:ascii="Arial" w:hAnsi="Arial" w:cs="Arial"/>
                <w:sz w:val="24"/>
                <w:szCs w:val="24"/>
              </w:rPr>
            </w:pPr>
            <w:r>
              <w:rPr>
                <w:rFonts w:ascii="Arial" w:hAnsi="Arial" w:cs="Arial"/>
                <w:sz w:val="24"/>
                <w:szCs w:val="24"/>
              </w:rPr>
              <w:t>Each case will have a unique set of working papers.</w:t>
            </w:r>
          </w:p>
          <w:p w:rsidR="00317C66" w:rsidRPr="00D4514B" w:rsidRDefault="00317C66" w:rsidP="00317C66">
            <w:pPr>
              <w:rPr>
                <w:rFonts w:ascii="Arial" w:hAnsi="Arial" w:cs="Arial"/>
                <w:sz w:val="24"/>
                <w:szCs w:val="24"/>
              </w:rPr>
            </w:pPr>
            <w:r>
              <w:rPr>
                <w:rFonts w:ascii="Arial" w:hAnsi="Arial" w:cs="Arial"/>
                <w:sz w:val="24"/>
                <w:szCs w:val="24"/>
              </w:rPr>
              <w:t>Working papers may contain the following information.</w:t>
            </w:r>
          </w:p>
          <w:p w:rsidR="00317C66" w:rsidRDefault="00317C66" w:rsidP="00317C66">
            <w:pPr>
              <w:rPr>
                <w:rFonts w:ascii="Arial" w:hAnsi="Arial" w:cs="Arial"/>
                <w:sz w:val="24"/>
                <w:szCs w:val="24"/>
              </w:rPr>
            </w:pPr>
            <w:r w:rsidRPr="00D4514B">
              <w:rPr>
                <w:rFonts w:ascii="Arial" w:hAnsi="Arial" w:cs="Arial"/>
                <w:sz w:val="24"/>
                <w:szCs w:val="24"/>
              </w:rPr>
              <w:t>Accounting Records</w:t>
            </w:r>
          </w:p>
          <w:p w:rsidR="00317C66" w:rsidRDefault="00317C66" w:rsidP="00317C66">
            <w:pPr>
              <w:pStyle w:val="ListParagraph"/>
              <w:ind w:left="1080"/>
              <w:rPr>
                <w:rFonts w:ascii="Arial" w:hAnsi="Arial" w:cs="Arial"/>
                <w:sz w:val="24"/>
                <w:szCs w:val="24"/>
              </w:rPr>
            </w:pPr>
            <w:r>
              <w:rPr>
                <w:rFonts w:ascii="Arial" w:hAnsi="Arial" w:cs="Arial"/>
                <w:sz w:val="24"/>
                <w:szCs w:val="24"/>
              </w:rPr>
              <w:t>General ledgers</w:t>
            </w:r>
          </w:p>
          <w:p w:rsidR="00317C66" w:rsidRDefault="00317C66" w:rsidP="00317C66">
            <w:pPr>
              <w:pStyle w:val="ListParagraph"/>
              <w:ind w:left="1080"/>
              <w:rPr>
                <w:rFonts w:ascii="Arial" w:hAnsi="Arial" w:cs="Arial"/>
                <w:sz w:val="24"/>
                <w:szCs w:val="24"/>
              </w:rPr>
            </w:pPr>
            <w:r>
              <w:rPr>
                <w:rFonts w:ascii="Arial" w:hAnsi="Arial" w:cs="Arial"/>
                <w:sz w:val="24"/>
                <w:szCs w:val="24"/>
              </w:rPr>
              <w:t>Journal Entries</w:t>
            </w:r>
          </w:p>
          <w:p w:rsidR="00317C66" w:rsidRDefault="00317C66" w:rsidP="00317C66">
            <w:pPr>
              <w:pStyle w:val="ListParagraph"/>
              <w:ind w:left="1080"/>
              <w:rPr>
                <w:rFonts w:ascii="Arial" w:hAnsi="Arial" w:cs="Arial"/>
                <w:sz w:val="24"/>
                <w:szCs w:val="24"/>
              </w:rPr>
            </w:pPr>
            <w:r>
              <w:rPr>
                <w:rFonts w:ascii="Arial" w:hAnsi="Arial" w:cs="Arial"/>
                <w:sz w:val="24"/>
                <w:szCs w:val="24"/>
              </w:rPr>
              <w:t>Financial Management Reports</w:t>
            </w:r>
          </w:p>
          <w:p w:rsidR="00317C66" w:rsidRDefault="00317C66" w:rsidP="00317C66">
            <w:pPr>
              <w:pStyle w:val="ListParagraph"/>
              <w:ind w:left="1080"/>
              <w:rPr>
                <w:rFonts w:ascii="Arial" w:hAnsi="Arial" w:cs="Arial"/>
                <w:sz w:val="24"/>
                <w:szCs w:val="24"/>
              </w:rPr>
            </w:pPr>
            <w:r>
              <w:rPr>
                <w:rFonts w:ascii="Arial" w:hAnsi="Arial" w:cs="Arial"/>
                <w:sz w:val="24"/>
                <w:szCs w:val="24"/>
              </w:rPr>
              <w:t>Internal Audit Reports</w:t>
            </w:r>
          </w:p>
          <w:p w:rsidR="00317C66" w:rsidRDefault="00317C66" w:rsidP="00317C66">
            <w:pPr>
              <w:pStyle w:val="ListParagraph"/>
              <w:ind w:left="1080"/>
              <w:rPr>
                <w:rFonts w:ascii="Arial" w:hAnsi="Arial" w:cs="Arial"/>
                <w:sz w:val="24"/>
                <w:szCs w:val="24"/>
              </w:rPr>
            </w:pPr>
            <w:r>
              <w:rPr>
                <w:rFonts w:ascii="Arial" w:hAnsi="Arial" w:cs="Arial"/>
                <w:sz w:val="24"/>
                <w:szCs w:val="24"/>
              </w:rPr>
              <w:t>Email Files</w:t>
            </w:r>
          </w:p>
          <w:p w:rsidR="00317C66" w:rsidRDefault="00317C66" w:rsidP="00317C66">
            <w:pPr>
              <w:pStyle w:val="ListParagraph"/>
              <w:ind w:left="1080"/>
              <w:rPr>
                <w:rFonts w:ascii="Arial" w:hAnsi="Arial" w:cs="Arial"/>
                <w:sz w:val="24"/>
                <w:szCs w:val="24"/>
              </w:rPr>
            </w:pPr>
            <w:r>
              <w:rPr>
                <w:rFonts w:ascii="Arial" w:hAnsi="Arial" w:cs="Arial"/>
                <w:sz w:val="24"/>
                <w:szCs w:val="24"/>
              </w:rPr>
              <w:t xml:space="preserve">Reconciliations </w:t>
            </w:r>
          </w:p>
          <w:p w:rsidR="00317C66" w:rsidRDefault="00317C66" w:rsidP="00317C66">
            <w:pPr>
              <w:rPr>
                <w:rFonts w:ascii="Arial" w:hAnsi="Arial" w:cs="Arial"/>
                <w:sz w:val="24"/>
                <w:szCs w:val="24"/>
              </w:rPr>
            </w:pPr>
            <w:r>
              <w:rPr>
                <w:rFonts w:ascii="Arial" w:hAnsi="Arial" w:cs="Arial"/>
                <w:sz w:val="24"/>
                <w:szCs w:val="24"/>
              </w:rPr>
              <w:t>Public Record Searches</w:t>
            </w:r>
          </w:p>
          <w:p w:rsidR="00317C66" w:rsidRDefault="00317C66" w:rsidP="00317C66">
            <w:pPr>
              <w:rPr>
                <w:rFonts w:ascii="Arial" w:hAnsi="Arial" w:cs="Arial"/>
                <w:sz w:val="24"/>
                <w:szCs w:val="24"/>
              </w:rPr>
            </w:pPr>
            <w:r>
              <w:rPr>
                <w:rFonts w:ascii="Arial" w:hAnsi="Arial" w:cs="Arial"/>
                <w:sz w:val="24"/>
                <w:szCs w:val="24"/>
              </w:rPr>
              <w:t>Credit Checks, Company Office checks etc.</w:t>
            </w:r>
          </w:p>
          <w:p w:rsidR="00317C66" w:rsidRDefault="00317C66" w:rsidP="00317C66">
            <w:pPr>
              <w:rPr>
                <w:rFonts w:ascii="Arial" w:hAnsi="Arial" w:cs="Arial"/>
                <w:sz w:val="24"/>
                <w:szCs w:val="24"/>
              </w:rPr>
            </w:pPr>
            <w:r>
              <w:rPr>
                <w:rFonts w:ascii="Arial" w:hAnsi="Arial" w:cs="Arial"/>
                <w:sz w:val="24"/>
                <w:szCs w:val="24"/>
              </w:rPr>
              <w:t xml:space="preserve"> Electronic Computer Files </w:t>
            </w:r>
          </w:p>
          <w:p w:rsidR="00317C66" w:rsidRDefault="00317C66" w:rsidP="00317C66">
            <w:pPr>
              <w:rPr>
                <w:rFonts w:ascii="Arial" w:hAnsi="Arial" w:cs="Arial"/>
                <w:sz w:val="24"/>
                <w:szCs w:val="24"/>
              </w:rPr>
            </w:pPr>
            <w:r>
              <w:rPr>
                <w:rFonts w:ascii="Arial" w:hAnsi="Arial" w:cs="Arial"/>
                <w:sz w:val="24"/>
                <w:szCs w:val="24"/>
              </w:rPr>
              <w:t>Photographs</w:t>
            </w:r>
          </w:p>
          <w:p w:rsidR="00317C66" w:rsidRDefault="00317C66" w:rsidP="00317C66">
            <w:pPr>
              <w:rPr>
                <w:rFonts w:ascii="Arial" w:hAnsi="Arial" w:cs="Arial"/>
                <w:sz w:val="24"/>
                <w:szCs w:val="24"/>
              </w:rPr>
            </w:pPr>
            <w:r>
              <w:rPr>
                <w:rFonts w:ascii="Arial" w:hAnsi="Arial" w:cs="Arial"/>
                <w:sz w:val="24"/>
                <w:szCs w:val="24"/>
              </w:rPr>
              <w:t xml:space="preserve"> Interview records &amp; Recordings</w:t>
            </w:r>
          </w:p>
          <w:p w:rsidR="00317C66" w:rsidRPr="00D4514B" w:rsidRDefault="00317C66" w:rsidP="00317C66">
            <w:pPr>
              <w:rPr>
                <w:rFonts w:ascii="Arial" w:hAnsi="Arial" w:cs="Arial"/>
                <w:sz w:val="24"/>
                <w:szCs w:val="24"/>
              </w:rPr>
            </w:pPr>
            <w:r>
              <w:rPr>
                <w:rFonts w:ascii="Arial" w:hAnsi="Arial" w:cs="Arial"/>
                <w:sz w:val="24"/>
                <w:szCs w:val="24"/>
              </w:rPr>
              <w:t>Third party Information.</w:t>
            </w: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The investigative team summarise each item and their working papers will contain information relevant to the investigation.</w:t>
            </w: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1080"/>
              <w:rPr>
                <w:rFonts w:ascii="Arial" w:hAnsi="Arial" w:cs="Arial"/>
                <w:sz w:val="24"/>
                <w:szCs w:val="24"/>
              </w:rPr>
            </w:pPr>
          </w:p>
          <w:p w:rsidR="00317C66" w:rsidRPr="000562C8" w:rsidRDefault="00317C66" w:rsidP="00317C66">
            <w:pPr>
              <w:pStyle w:val="ListParagraph"/>
              <w:ind w:left="1080"/>
              <w:rPr>
                <w:rFonts w:ascii="Arial" w:hAnsi="Arial" w:cs="Arial"/>
                <w:color w:val="FF0000"/>
                <w:sz w:val="24"/>
                <w:szCs w:val="24"/>
              </w:rPr>
            </w:pPr>
          </w:p>
          <w:p w:rsidR="00317C66" w:rsidRPr="000562C8" w:rsidRDefault="00317C66" w:rsidP="00317C66">
            <w:pPr>
              <w:pStyle w:val="ListParagraph"/>
              <w:ind w:left="1080"/>
              <w:rPr>
                <w:rFonts w:ascii="Arial" w:hAnsi="Arial" w:cs="Arial"/>
                <w:color w:val="FF0000"/>
                <w:sz w:val="24"/>
                <w:szCs w:val="24"/>
              </w:rPr>
            </w:pPr>
            <w:r w:rsidRPr="000562C8">
              <w:rPr>
                <w:rFonts w:ascii="Arial" w:hAnsi="Arial" w:cs="Arial"/>
                <w:color w:val="FF0000"/>
                <w:sz w:val="24"/>
                <w:szCs w:val="24"/>
              </w:rPr>
              <w:t>(vi)</w:t>
            </w:r>
            <w:r w:rsidRPr="000562C8">
              <w:rPr>
                <w:rFonts w:ascii="Arial" w:hAnsi="Arial" w:cs="Arial"/>
                <w:color w:val="FF0000"/>
                <w:sz w:val="24"/>
                <w:szCs w:val="24"/>
              </w:rPr>
              <w:tab/>
            </w:r>
            <w:r w:rsidRPr="000562C8">
              <w:rPr>
                <w:rFonts w:ascii="Arial" w:hAnsi="Arial" w:cs="Arial"/>
                <w:color w:val="FF0000"/>
                <w:sz w:val="24"/>
                <w:szCs w:val="24"/>
              </w:rPr>
              <w:tab/>
              <w:t>Outline the main steps involved in the evidence gathering process</w:t>
            </w:r>
          </w:p>
          <w:p w:rsidR="00317C66" w:rsidRDefault="00317C66" w:rsidP="00317C66">
            <w:pPr>
              <w:pStyle w:val="ListParagraph"/>
              <w:ind w:left="108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 xml:space="preserve">Collecting, documenting and retaining evidence are important steps in any investigation and are critical to forensic accounting investigations.  The value of the conclusions of an investigation eventually depends on the reliability of the evidence discovered.  Great care must be taken to gather, store and preserve the information for use in evidence.  </w:t>
            </w:r>
          </w:p>
          <w:p w:rsidR="00317C66" w:rsidRDefault="00317C66" w:rsidP="00317C66">
            <w:pPr>
              <w:pStyle w:val="ListParagraph"/>
              <w:ind w:left="0"/>
              <w:rPr>
                <w:rFonts w:ascii="Arial" w:hAnsi="Arial" w:cs="Arial"/>
                <w:sz w:val="24"/>
                <w:szCs w:val="24"/>
              </w:rPr>
            </w:pPr>
            <w:r>
              <w:rPr>
                <w:rFonts w:ascii="Arial" w:hAnsi="Arial" w:cs="Arial"/>
                <w:sz w:val="24"/>
                <w:szCs w:val="24"/>
              </w:rPr>
              <w:t>Several types of evidence are documentary in nature and most are relevant.  Documents can be divided into two categories:</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Documents that are held in electronic form</w:t>
            </w:r>
          </w:p>
          <w:p w:rsidR="00317C66" w:rsidRDefault="00317C66" w:rsidP="00317C66">
            <w:pPr>
              <w:pStyle w:val="ListParagraph"/>
              <w:ind w:left="0"/>
              <w:rPr>
                <w:rFonts w:ascii="Arial" w:hAnsi="Arial" w:cs="Arial"/>
                <w:sz w:val="24"/>
                <w:szCs w:val="24"/>
              </w:rPr>
            </w:pPr>
            <w:r>
              <w:rPr>
                <w:rFonts w:ascii="Arial" w:hAnsi="Arial" w:cs="Arial"/>
                <w:sz w:val="24"/>
                <w:szCs w:val="24"/>
              </w:rPr>
              <w:t>Documents that are physical in nature such as a bank statement or paper document</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The Steps in Collecting Evidence</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Document Retention Considerations</w:t>
            </w:r>
          </w:p>
          <w:p w:rsidR="00317C66" w:rsidRDefault="00317C66" w:rsidP="00317C66">
            <w:pPr>
              <w:pStyle w:val="ListParagraph"/>
              <w:ind w:left="0"/>
              <w:rPr>
                <w:rFonts w:ascii="Arial" w:hAnsi="Arial" w:cs="Arial"/>
                <w:sz w:val="24"/>
                <w:szCs w:val="24"/>
              </w:rPr>
            </w:pPr>
            <w:r>
              <w:rPr>
                <w:rFonts w:ascii="Arial" w:hAnsi="Arial" w:cs="Arial"/>
                <w:sz w:val="24"/>
                <w:szCs w:val="24"/>
              </w:rPr>
              <w:t>Document retention and preservation are especially significant.</w:t>
            </w:r>
          </w:p>
          <w:p w:rsidR="00317C66" w:rsidRDefault="00317C66" w:rsidP="00317C66">
            <w:pPr>
              <w:pStyle w:val="ListParagraph"/>
              <w:ind w:left="0"/>
              <w:rPr>
                <w:rFonts w:ascii="Arial" w:hAnsi="Arial" w:cs="Arial"/>
                <w:sz w:val="24"/>
                <w:szCs w:val="24"/>
              </w:rPr>
            </w:pPr>
            <w:r>
              <w:rPr>
                <w:rFonts w:ascii="Arial" w:hAnsi="Arial" w:cs="Arial"/>
                <w:sz w:val="24"/>
                <w:szCs w:val="24"/>
              </w:rPr>
              <w:t xml:space="preserve">Establish at the outset </w:t>
            </w:r>
            <w:proofErr w:type="gramStart"/>
            <w:r>
              <w:rPr>
                <w:rFonts w:ascii="Arial" w:hAnsi="Arial" w:cs="Arial"/>
                <w:sz w:val="24"/>
                <w:szCs w:val="24"/>
              </w:rPr>
              <w:t>who</w:t>
            </w:r>
            <w:proofErr w:type="gramEnd"/>
            <w:r>
              <w:rPr>
                <w:rFonts w:ascii="Arial" w:hAnsi="Arial" w:cs="Arial"/>
                <w:sz w:val="24"/>
                <w:szCs w:val="24"/>
              </w:rPr>
              <w:t xml:space="preserve"> is responsible for retaining the records and how long they should be retained.</w:t>
            </w:r>
          </w:p>
          <w:p w:rsidR="00317C66" w:rsidRDefault="00317C66" w:rsidP="00317C66">
            <w:pPr>
              <w:pStyle w:val="ListParagraph"/>
              <w:ind w:left="0"/>
              <w:rPr>
                <w:rFonts w:ascii="Arial" w:hAnsi="Arial" w:cs="Arial"/>
                <w:sz w:val="24"/>
                <w:szCs w:val="24"/>
              </w:rPr>
            </w:pPr>
            <w:r>
              <w:rPr>
                <w:rFonts w:ascii="Arial" w:hAnsi="Arial" w:cs="Arial"/>
                <w:sz w:val="24"/>
                <w:szCs w:val="24"/>
              </w:rPr>
              <w:t>Document retention can be complex and counsel should be consulted to ensure compliance with firm policies and applicable laws and regulations.</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Planning Considerations</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Establish the types of evidence that will be required in particular in relation to accounting records.</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Creating a Chain of Custody</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The purpose of the chain of custody is to establish that since the evidence was collected to the time of its presentation to a court it has been properly preserved from damage or alteration.  Before gathering any evidence the investigation should discuss with counsel and the client the level of detailed record keeping that is required to establish the chain of custody of the evidence.</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Pr="000562C8" w:rsidRDefault="00317C66" w:rsidP="00317C66">
            <w:pPr>
              <w:pStyle w:val="ListParagraph"/>
              <w:ind w:left="0"/>
              <w:rPr>
                <w:rFonts w:ascii="Arial" w:hAnsi="Arial" w:cs="Arial"/>
                <w:color w:val="FF0000"/>
                <w:sz w:val="24"/>
                <w:szCs w:val="24"/>
              </w:rPr>
            </w:pPr>
          </w:p>
          <w:p w:rsidR="00317C66" w:rsidRPr="000562C8" w:rsidRDefault="00317C66" w:rsidP="00317C66">
            <w:pPr>
              <w:pStyle w:val="ListParagraph"/>
              <w:ind w:left="0"/>
              <w:rPr>
                <w:rFonts w:ascii="Arial" w:hAnsi="Arial" w:cs="Arial"/>
                <w:color w:val="FF0000"/>
                <w:sz w:val="24"/>
                <w:szCs w:val="24"/>
              </w:rPr>
            </w:pPr>
            <w:r w:rsidRPr="000562C8">
              <w:rPr>
                <w:rFonts w:ascii="Arial" w:hAnsi="Arial" w:cs="Arial"/>
                <w:color w:val="FF0000"/>
                <w:sz w:val="24"/>
                <w:szCs w:val="24"/>
              </w:rPr>
              <w:lastRenderedPageBreak/>
              <w:t>(vii)</w:t>
            </w:r>
            <w:r w:rsidRPr="000562C8">
              <w:rPr>
                <w:rFonts w:ascii="Arial" w:hAnsi="Arial" w:cs="Arial"/>
                <w:color w:val="FF0000"/>
                <w:sz w:val="24"/>
                <w:szCs w:val="24"/>
              </w:rPr>
              <w:tab/>
              <w:t xml:space="preserve">Which types of documents are collected in evidence gathering process and what could be the possible sources </w:t>
            </w:r>
            <w:r>
              <w:rPr>
                <w:rFonts w:ascii="Arial" w:hAnsi="Arial" w:cs="Arial"/>
                <w:color w:val="FF0000"/>
                <w:sz w:val="24"/>
                <w:szCs w:val="24"/>
              </w:rPr>
              <w:t>for</w:t>
            </w:r>
            <w:r w:rsidRPr="000562C8">
              <w:rPr>
                <w:rFonts w:ascii="Arial" w:hAnsi="Arial" w:cs="Arial"/>
                <w:color w:val="FF0000"/>
                <w:sz w:val="24"/>
                <w:szCs w:val="24"/>
              </w:rPr>
              <w:t xml:space="preserve"> these?</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r>
              <w:rPr>
                <w:rFonts w:ascii="Arial" w:hAnsi="Arial" w:cs="Arial"/>
                <w:sz w:val="24"/>
                <w:szCs w:val="24"/>
              </w:rPr>
              <w:t>Invoices, credit card statements, bank statements – lifestyle profiling</w:t>
            </w:r>
          </w:p>
          <w:p w:rsidR="00317C66" w:rsidRDefault="00317C66" w:rsidP="00317C66">
            <w:pPr>
              <w:pStyle w:val="ListParagraph"/>
              <w:ind w:left="0"/>
              <w:rPr>
                <w:rFonts w:ascii="Arial" w:hAnsi="Arial" w:cs="Arial"/>
                <w:sz w:val="24"/>
                <w:szCs w:val="24"/>
              </w:rPr>
            </w:pPr>
            <w:r>
              <w:rPr>
                <w:rFonts w:ascii="Arial" w:hAnsi="Arial" w:cs="Arial"/>
                <w:sz w:val="24"/>
                <w:szCs w:val="24"/>
              </w:rPr>
              <w:t xml:space="preserve">Emails </w:t>
            </w:r>
          </w:p>
          <w:p w:rsidR="00317C66" w:rsidRDefault="00317C66" w:rsidP="00317C66">
            <w:pPr>
              <w:pStyle w:val="ListParagraph"/>
              <w:ind w:left="0"/>
              <w:rPr>
                <w:rFonts w:ascii="Arial" w:hAnsi="Arial" w:cs="Arial"/>
                <w:sz w:val="24"/>
                <w:szCs w:val="24"/>
              </w:rPr>
            </w:pPr>
            <w:r>
              <w:rPr>
                <w:rFonts w:ascii="Arial" w:hAnsi="Arial" w:cs="Arial"/>
                <w:sz w:val="24"/>
                <w:szCs w:val="24"/>
              </w:rPr>
              <w:t>Internet sources</w:t>
            </w:r>
          </w:p>
          <w:p w:rsidR="00317C66" w:rsidRDefault="00317C66" w:rsidP="00317C66">
            <w:pPr>
              <w:pStyle w:val="ListParagraph"/>
              <w:ind w:left="0"/>
              <w:rPr>
                <w:rFonts w:ascii="Arial" w:hAnsi="Arial" w:cs="Arial"/>
                <w:sz w:val="24"/>
                <w:szCs w:val="24"/>
              </w:rPr>
            </w:pPr>
            <w:r>
              <w:rPr>
                <w:rFonts w:ascii="Arial" w:hAnsi="Arial" w:cs="Arial"/>
                <w:sz w:val="24"/>
                <w:szCs w:val="24"/>
              </w:rPr>
              <w:t>Photographs</w:t>
            </w:r>
          </w:p>
          <w:p w:rsidR="00317C66" w:rsidRDefault="00317C66" w:rsidP="00317C66">
            <w:pPr>
              <w:pStyle w:val="ListParagraph"/>
              <w:ind w:left="0"/>
              <w:rPr>
                <w:rFonts w:ascii="Arial" w:hAnsi="Arial" w:cs="Arial"/>
                <w:sz w:val="24"/>
                <w:szCs w:val="24"/>
              </w:rPr>
            </w:pPr>
            <w:r>
              <w:rPr>
                <w:rFonts w:ascii="Arial" w:hAnsi="Arial" w:cs="Arial"/>
                <w:sz w:val="24"/>
                <w:szCs w:val="24"/>
              </w:rPr>
              <w:t>Public record searches</w:t>
            </w:r>
          </w:p>
          <w:p w:rsidR="00317C66" w:rsidRDefault="00317C66" w:rsidP="00317C66">
            <w:pPr>
              <w:pStyle w:val="ListParagraph"/>
              <w:ind w:left="0"/>
              <w:rPr>
                <w:rFonts w:ascii="Arial" w:hAnsi="Arial" w:cs="Arial"/>
                <w:sz w:val="24"/>
                <w:szCs w:val="24"/>
              </w:rPr>
            </w:pPr>
            <w:r>
              <w:rPr>
                <w:rFonts w:ascii="Arial" w:hAnsi="Arial" w:cs="Arial"/>
                <w:sz w:val="24"/>
                <w:szCs w:val="24"/>
              </w:rPr>
              <w:t>Signed statements</w:t>
            </w:r>
          </w:p>
          <w:p w:rsidR="00317C66" w:rsidRDefault="00317C66" w:rsidP="00317C66">
            <w:pPr>
              <w:pStyle w:val="ListParagraph"/>
              <w:ind w:left="0"/>
              <w:rPr>
                <w:rFonts w:ascii="Arial" w:hAnsi="Arial" w:cs="Arial"/>
                <w:sz w:val="24"/>
                <w:szCs w:val="24"/>
              </w:rPr>
            </w:pPr>
            <w:r>
              <w:rPr>
                <w:rFonts w:ascii="Arial" w:hAnsi="Arial" w:cs="Arial"/>
                <w:sz w:val="24"/>
                <w:szCs w:val="24"/>
              </w:rPr>
              <w:t>Record keeping systems and paper trails</w:t>
            </w:r>
          </w:p>
          <w:p w:rsidR="00317C66" w:rsidRDefault="00317C66" w:rsidP="00317C66">
            <w:pPr>
              <w:pStyle w:val="ListParagraph"/>
              <w:ind w:left="0"/>
              <w:rPr>
                <w:rFonts w:ascii="Arial" w:hAnsi="Arial" w:cs="Arial"/>
                <w:sz w:val="24"/>
                <w:szCs w:val="24"/>
              </w:rPr>
            </w:pPr>
            <w:r>
              <w:rPr>
                <w:rFonts w:ascii="Arial" w:hAnsi="Arial" w:cs="Arial"/>
                <w:sz w:val="24"/>
                <w:szCs w:val="24"/>
              </w:rPr>
              <w:t>Third Party documentation</w:t>
            </w:r>
          </w:p>
          <w:p w:rsidR="00317C66" w:rsidRDefault="00317C66" w:rsidP="00317C66">
            <w:pPr>
              <w:pStyle w:val="ListParagraph"/>
              <w:ind w:left="0"/>
              <w:rPr>
                <w:rFonts w:ascii="Arial" w:hAnsi="Arial" w:cs="Arial"/>
                <w:sz w:val="24"/>
                <w:szCs w:val="24"/>
              </w:rPr>
            </w:pPr>
            <w:r>
              <w:rPr>
                <w:rFonts w:ascii="Arial" w:hAnsi="Arial" w:cs="Arial"/>
                <w:sz w:val="24"/>
                <w:szCs w:val="24"/>
              </w:rPr>
              <w:t>Financial Contacts</w:t>
            </w:r>
          </w:p>
          <w:p w:rsidR="00317C66" w:rsidRDefault="00317C66" w:rsidP="00317C66">
            <w:pPr>
              <w:pStyle w:val="ListParagraph"/>
              <w:ind w:left="0"/>
              <w:rPr>
                <w:rFonts w:ascii="Arial" w:hAnsi="Arial" w:cs="Arial"/>
                <w:sz w:val="24"/>
                <w:szCs w:val="24"/>
              </w:rPr>
            </w:pPr>
          </w:p>
          <w:p w:rsidR="00317C66" w:rsidRDefault="00317C66" w:rsidP="00317C66">
            <w:pPr>
              <w:pStyle w:val="ListParagraph"/>
              <w:ind w:left="0"/>
              <w:rPr>
                <w:rFonts w:ascii="Arial" w:hAnsi="Arial" w:cs="Arial"/>
                <w:sz w:val="24"/>
                <w:szCs w:val="24"/>
              </w:rPr>
            </w:pPr>
          </w:p>
          <w:p w:rsidR="00317C66" w:rsidRPr="006C1C3E" w:rsidRDefault="00317C66" w:rsidP="00317C66">
            <w:pPr>
              <w:pStyle w:val="ListParagraph"/>
              <w:numPr>
                <w:ilvl w:val="0"/>
                <w:numId w:val="1"/>
              </w:numPr>
              <w:rPr>
                <w:rFonts w:ascii="Arial" w:hAnsi="Arial" w:cs="Arial"/>
                <w:color w:val="FF0000"/>
                <w:sz w:val="24"/>
                <w:szCs w:val="24"/>
              </w:rPr>
            </w:pPr>
            <w:r w:rsidRPr="006C1C3E">
              <w:rPr>
                <w:rFonts w:ascii="Arial" w:hAnsi="Arial" w:cs="Arial"/>
                <w:color w:val="FF0000"/>
                <w:sz w:val="24"/>
                <w:szCs w:val="24"/>
              </w:rPr>
              <w:t>Evidence is required to support any investigation of financial crime. Discuss various types of evidence used in financial crime investigations.</w:t>
            </w:r>
          </w:p>
          <w:p w:rsidR="00317C66" w:rsidRPr="006C1C3E" w:rsidRDefault="00317C66" w:rsidP="00317C66">
            <w:pPr>
              <w:pStyle w:val="ListParagraph"/>
              <w:rPr>
                <w:rFonts w:ascii="Arial" w:hAnsi="Arial" w:cs="Arial"/>
                <w:color w:val="FF0000"/>
                <w:sz w:val="24"/>
                <w:szCs w:val="24"/>
              </w:rPr>
            </w:pP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Depending on the fraud committed obtaining the right evidence is paramount to the investigation.  E.g. where the employee is suspected of stealing cash the fraud investigator would examine the income and this should correspond to lodgements to the bank account any cover up of cash received but not lodged would be easily spotted.</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 xml:space="preserve">CCTV footage showing theft at a cash register is a prime example of </w:t>
            </w:r>
            <w:proofErr w:type="spellStart"/>
            <w:r>
              <w:rPr>
                <w:rFonts w:ascii="Arial" w:hAnsi="Arial" w:cs="Arial"/>
                <w:sz w:val="24"/>
                <w:szCs w:val="24"/>
              </w:rPr>
              <w:t>cctv</w:t>
            </w:r>
            <w:proofErr w:type="spellEnd"/>
            <w:r>
              <w:rPr>
                <w:rFonts w:ascii="Arial" w:hAnsi="Arial" w:cs="Arial"/>
                <w:sz w:val="24"/>
                <w:szCs w:val="24"/>
              </w:rPr>
              <w:t xml:space="preserve"> evidence used in court.</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Fake invoices or receipts are also examples of evidence that can be used in financial crime investigations</w:t>
            </w:r>
          </w:p>
          <w:p w:rsidR="00317C66" w:rsidRDefault="00317C66" w:rsidP="00317C66">
            <w:pPr>
              <w:pStyle w:val="ListParagraph"/>
              <w:rPr>
                <w:rFonts w:ascii="Arial" w:hAnsi="Arial" w:cs="Arial"/>
                <w:sz w:val="24"/>
                <w:szCs w:val="24"/>
              </w:rPr>
            </w:pPr>
          </w:p>
          <w:p w:rsidR="00317C66" w:rsidRDefault="00317C66" w:rsidP="00317C66">
            <w:pPr>
              <w:pStyle w:val="ListParagraph"/>
              <w:rPr>
                <w:rFonts w:ascii="Arial" w:hAnsi="Arial" w:cs="Arial"/>
                <w:sz w:val="24"/>
                <w:szCs w:val="24"/>
              </w:rPr>
            </w:pPr>
            <w:r>
              <w:rPr>
                <w:rFonts w:ascii="Arial" w:hAnsi="Arial" w:cs="Arial"/>
                <w:sz w:val="24"/>
                <w:szCs w:val="24"/>
              </w:rPr>
              <w:t>A recent example would be a post office employee found guilty of defrauding a substantial amount of money from the post office through the issue of postal orders of under €100 each the amounts were made payable to different names but over the course of the investigation it transpired that the amounts were in excess of €70,000 over a 4 year period.  The copy of the postal order in this case was the vital piece of evidence whereby when copies were requested the account number of the payee appeared on the back of the postal order.</w:t>
            </w:r>
          </w:p>
          <w:p w:rsidR="00317C66" w:rsidRDefault="00317C66" w:rsidP="00317C66">
            <w:pPr>
              <w:pStyle w:val="ListParagraph"/>
              <w:rPr>
                <w:rFonts w:ascii="Arial" w:hAnsi="Arial" w:cs="Arial"/>
                <w:sz w:val="24"/>
                <w:szCs w:val="24"/>
              </w:rPr>
            </w:pPr>
          </w:p>
          <w:p w:rsidR="00317C66" w:rsidRDefault="00317C66" w:rsidP="00317C66">
            <w:pPr>
              <w:pStyle w:val="ListParagraph"/>
              <w:numPr>
                <w:ilvl w:val="0"/>
                <w:numId w:val="1"/>
              </w:numPr>
              <w:rPr>
                <w:rFonts w:ascii="Arial" w:hAnsi="Arial" w:cs="Arial"/>
                <w:color w:val="FF0000"/>
                <w:sz w:val="24"/>
                <w:szCs w:val="24"/>
              </w:rPr>
            </w:pPr>
            <w:r w:rsidRPr="006C1C3E">
              <w:rPr>
                <w:rFonts w:ascii="Arial" w:hAnsi="Arial" w:cs="Arial"/>
                <w:color w:val="FF0000"/>
                <w:sz w:val="24"/>
                <w:szCs w:val="24"/>
              </w:rPr>
              <w:t>Evidence gathered in financial crime cases is different from the one gathered in non financial crime cases.  What is the basic difference in the composition of the two types of evidences?</w:t>
            </w:r>
          </w:p>
          <w:p w:rsidR="00317C66" w:rsidRDefault="00317C66" w:rsidP="00317C66">
            <w:pPr>
              <w:ind w:left="720"/>
              <w:rPr>
                <w:rFonts w:ascii="Arial" w:hAnsi="Arial" w:cs="Arial"/>
                <w:sz w:val="24"/>
                <w:szCs w:val="24"/>
              </w:rPr>
            </w:pPr>
            <w:r>
              <w:rPr>
                <w:rFonts w:ascii="Arial" w:hAnsi="Arial" w:cs="Arial"/>
                <w:sz w:val="24"/>
                <w:szCs w:val="24"/>
              </w:rPr>
              <w:t>Financial Evidence can involve a large volume of data where as evidence in non financial crime cases can be very specific i.e. A gun in a criminal homicide case.</w:t>
            </w:r>
          </w:p>
          <w:p w:rsidR="00317C66" w:rsidRDefault="00317C66" w:rsidP="00317C66">
            <w:pPr>
              <w:ind w:left="720"/>
              <w:rPr>
                <w:rFonts w:ascii="Arial" w:hAnsi="Arial" w:cs="Arial"/>
                <w:sz w:val="24"/>
                <w:szCs w:val="24"/>
              </w:rPr>
            </w:pPr>
            <w:r>
              <w:rPr>
                <w:rFonts w:ascii="Arial" w:hAnsi="Arial" w:cs="Arial"/>
                <w:sz w:val="24"/>
                <w:szCs w:val="24"/>
              </w:rPr>
              <w:t xml:space="preserve">A stolen car with finger prints </w:t>
            </w:r>
          </w:p>
          <w:p w:rsidR="00317C66" w:rsidRDefault="00317C66" w:rsidP="00317C66">
            <w:pPr>
              <w:ind w:left="720"/>
              <w:rPr>
                <w:rFonts w:ascii="Arial" w:hAnsi="Arial" w:cs="Arial"/>
                <w:sz w:val="24"/>
                <w:szCs w:val="24"/>
              </w:rPr>
            </w:pPr>
            <w:r>
              <w:rPr>
                <w:rFonts w:ascii="Arial" w:hAnsi="Arial" w:cs="Arial"/>
                <w:sz w:val="24"/>
                <w:szCs w:val="24"/>
              </w:rPr>
              <w:t>A Burglary that left fingerprints or personal items at the scene of the crime</w:t>
            </w:r>
          </w:p>
          <w:p w:rsidR="00317C66" w:rsidRDefault="00317C66" w:rsidP="00317C66">
            <w:pPr>
              <w:ind w:left="720"/>
              <w:rPr>
                <w:rFonts w:ascii="Arial" w:hAnsi="Arial" w:cs="Arial"/>
                <w:sz w:val="24"/>
                <w:szCs w:val="24"/>
              </w:rPr>
            </w:pPr>
            <w:r>
              <w:rPr>
                <w:rFonts w:ascii="Arial" w:hAnsi="Arial" w:cs="Arial"/>
                <w:sz w:val="24"/>
                <w:szCs w:val="24"/>
              </w:rPr>
              <w:t>Financial Crime evidence is more complex and requires the investigator to compile a large amount of documentation to back up the final evidence.</w:t>
            </w:r>
          </w:p>
          <w:p w:rsidR="00317C66" w:rsidRDefault="00317C66" w:rsidP="00317C66">
            <w:pPr>
              <w:ind w:left="720"/>
              <w:rPr>
                <w:rFonts w:ascii="Arial" w:hAnsi="Arial" w:cs="Arial"/>
                <w:sz w:val="24"/>
                <w:szCs w:val="24"/>
              </w:rPr>
            </w:pPr>
            <w:r>
              <w:rPr>
                <w:rFonts w:ascii="Arial" w:hAnsi="Arial" w:cs="Arial"/>
                <w:sz w:val="24"/>
                <w:szCs w:val="24"/>
              </w:rPr>
              <w:lastRenderedPageBreak/>
              <w:t>Non financial crime cases are more specific than financial crime evidence</w:t>
            </w:r>
          </w:p>
          <w:p w:rsidR="00317C66" w:rsidRPr="00206729" w:rsidRDefault="00317C66" w:rsidP="00317C66">
            <w:pPr>
              <w:ind w:left="720"/>
              <w:rPr>
                <w:rFonts w:ascii="Arial" w:hAnsi="Arial" w:cs="Arial"/>
                <w:sz w:val="24"/>
                <w:szCs w:val="24"/>
              </w:rPr>
            </w:pPr>
            <w:r>
              <w:rPr>
                <w:rFonts w:ascii="Arial" w:hAnsi="Arial" w:cs="Arial"/>
                <w:sz w:val="24"/>
                <w:szCs w:val="24"/>
              </w:rPr>
              <w:t>We have seen in the US the large volumes of information presented to the courts in white collar criminal cases that can tie up the courts for an enormous amount of time.</w:t>
            </w:r>
          </w:p>
          <w:p w:rsidR="00317C66" w:rsidRDefault="00317C66" w:rsidP="00317C66">
            <w:pPr>
              <w:rPr>
                <w:rFonts w:ascii="Arial" w:hAnsi="Arial" w:cs="Arial"/>
                <w:sz w:val="24"/>
                <w:szCs w:val="24"/>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p w:rsidR="00317C66" w:rsidRDefault="00317C66" w:rsidP="00BB10CB">
            <w:pPr>
              <w:rPr>
                <w:b/>
              </w:rPr>
            </w:pPr>
          </w:p>
        </w:tc>
      </w:tr>
    </w:tbl>
    <w:p w:rsidR="00317C66" w:rsidRPr="00B0415E" w:rsidRDefault="00317C66" w:rsidP="00317C66">
      <w:pPr>
        <w:autoSpaceDE w:val="0"/>
        <w:autoSpaceDN w:val="0"/>
        <w:adjustRightInd w:val="0"/>
        <w:spacing w:after="0" w:line="240" w:lineRule="auto"/>
        <w:rPr>
          <w:rFonts w:cs="CalvertMT-Bold"/>
          <w:b/>
          <w:bCs/>
          <w:color w:val="002060"/>
          <w:sz w:val="28"/>
          <w:lang w:val="en-US"/>
        </w:rPr>
      </w:pPr>
    </w:p>
    <w:p w:rsidR="00317C66" w:rsidRPr="00B0415E" w:rsidRDefault="00317C66" w:rsidP="00317C6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17C66" w:rsidRPr="00B0415E" w:rsidRDefault="00317C66" w:rsidP="00317C66">
      <w:pPr>
        <w:autoSpaceDE w:val="0"/>
        <w:autoSpaceDN w:val="0"/>
        <w:adjustRightInd w:val="0"/>
        <w:spacing w:after="0" w:line="240" w:lineRule="auto"/>
        <w:rPr>
          <w:rFonts w:cs="CalvertMT-Bold"/>
          <w:b/>
          <w:bCs/>
          <w:color w:val="001AE6"/>
          <w:lang w:val="en-US"/>
        </w:rPr>
      </w:pPr>
    </w:p>
    <w:p w:rsidR="00317C66" w:rsidRPr="00B0415E" w:rsidRDefault="00317C66" w:rsidP="00317C6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17C66" w:rsidRPr="00B0415E" w:rsidRDefault="00317C66" w:rsidP="00317C66">
      <w:pPr>
        <w:autoSpaceDE w:val="0"/>
        <w:autoSpaceDN w:val="0"/>
        <w:adjustRightInd w:val="0"/>
        <w:spacing w:after="0" w:line="240" w:lineRule="auto"/>
        <w:rPr>
          <w:rFonts w:cs="Bliss-Regular"/>
          <w:color w:val="000000"/>
          <w:lang w:val="en-US"/>
        </w:rPr>
      </w:pPr>
    </w:p>
    <w:p w:rsidR="00317C66" w:rsidRPr="00B0415E" w:rsidRDefault="00317C66" w:rsidP="00317C66">
      <w:pPr>
        <w:autoSpaceDE w:val="0"/>
        <w:autoSpaceDN w:val="0"/>
        <w:adjustRightInd w:val="0"/>
        <w:spacing w:after="0" w:line="240" w:lineRule="auto"/>
        <w:rPr>
          <w:rFonts w:cs="Bliss-Regular"/>
          <w:color w:val="000000"/>
          <w:lang w:val="en-US"/>
        </w:rPr>
      </w:pPr>
    </w:p>
    <w:p w:rsidR="00317C66" w:rsidRPr="00B0415E" w:rsidRDefault="00317C66" w:rsidP="00317C66">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317C66" w:rsidRPr="00B0415E" w:rsidTr="00BB10CB">
        <w:tc>
          <w:tcPr>
            <w:tcW w:w="2310" w:type="dxa"/>
            <w:shd w:val="clear" w:color="auto" w:fill="D9D9D9" w:themeFill="background1" w:themeFillShade="D9"/>
          </w:tcPr>
          <w:p w:rsidR="00317C66" w:rsidRPr="00B0415E" w:rsidRDefault="00317C66" w:rsidP="00BB10CB">
            <w:pPr>
              <w:rPr>
                <w:rFonts w:cs="Bliss-Regular"/>
                <w:color w:val="000000"/>
              </w:rPr>
            </w:pPr>
            <w:r w:rsidRPr="00B0415E">
              <w:rPr>
                <w:rFonts w:cs="Bliss-Regular"/>
                <w:color w:val="000000"/>
              </w:rPr>
              <w:t>Student Signature</w:t>
            </w:r>
          </w:p>
        </w:tc>
        <w:tc>
          <w:tcPr>
            <w:tcW w:w="4035" w:type="dxa"/>
          </w:tcPr>
          <w:p w:rsidR="00317C66" w:rsidRPr="00B0415E" w:rsidRDefault="00317C66" w:rsidP="00BB10CB">
            <w:pPr>
              <w:rPr>
                <w:rFonts w:cs="Bliss-Regular"/>
                <w:color w:val="000000"/>
              </w:rPr>
            </w:pPr>
            <w:r>
              <w:rPr>
                <w:rFonts w:cs="Bliss-Regular"/>
                <w:color w:val="000000"/>
              </w:rPr>
              <w:t>JOANNE O SULLIVAN</w:t>
            </w:r>
          </w:p>
        </w:tc>
        <w:tc>
          <w:tcPr>
            <w:tcW w:w="1276" w:type="dxa"/>
            <w:shd w:val="clear" w:color="auto" w:fill="D9D9D9" w:themeFill="background1" w:themeFillShade="D9"/>
          </w:tcPr>
          <w:p w:rsidR="00317C66" w:rsidRPr="00B0415E" w:rsidRDefault="00317C66" w:rsidP="00BB10CB">
            <w:pPr>
              <w:rPr>
                <w:rFonts w:cs="Bliss-Regular"/>
                <w:color w:val="000000"/>
              </w:rPr>
            </w:pPr>
            <w:r w:rsidRPr="00B0415E">
              <w:rPr>
                <w:rFonts w:cs="Bliss-Regular"/>
                <w:color w:val="000000"/>
              </w:rPr>
              <w:t>Date</w:t>
            </w:r>
          </w:p>
        </w:tc>
        <w:tc>
          <w:tcPr>
            <w:tcW w:w="1621" w:type="dxa"/>
          </w:tcPr>
          <w:p w:rsidR="00317C66" w:rsidRPr="00B0415E" w:rsidRDefault="00317C66" w:rsidP="00BB10CB">
            <w:pPr>
              <w:rPr>
                <w:rFonts w:cs="Bliss-Regular"/>
                <w:color w:val="000000"/>
              </w:rPr>
            </w:pPr>
            <w:r>
              <w:rPr>
                <w:rFonts w:cs="Bliss-Regular"/>
                <w:color w:val="000000"/>
              </w:rPr>
              <w:t>09/01/2015</w:t>
            </w:r>
          </w:p>
        </w:tc>
      </w:tr>
    </w:tbl>
    <w:p w:rsidR="00317C66" w:rsidRPr="00B0415E" w:rsidRDefault="00317C66" w:rsidP="00317C66">
      <w:pPr>
        <w:rPr>
          <w:rFonts w:cs="Bliss-Regular"/>
          <w:color w:val="000000"/>
          <w:lang w:val="en-US"/>
        </w:rPr>
      </w:pPr>
    </w:p>
    <w:p w:rsidR="00317C66" w:rsidRPr="00B0415E" w:rsidRDefault="00317C66" w:rsidP="00317C66">
      <w:pPr>
        <w:rPr>
          <w:rFonts w:cs="Bliss-Regular"/>
          <w:color w:val="000000"/>
          <w:lang w:val="en-US"/>
        </w:rPr>
      </w:pPr>
    </w:p>
    <w:p w:rsidR="00317C66" w:rsidRPr="00B0415E" w:rsidRDefault="00317C66" w:rsidP="00317C6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317C66" w:rsidRPr="00B0415E" w:rsidTr="00BB10CB">
        <w:trPr>
          <w:trHeight w:val="249"/>
        </w:trPr>
        <w:tc>
          <w:tcPr>
            <w:tcW w:w="4621" w:type="dxa"/>
            <w:shd w:val="clear" w:color="auto" w:fill="D9D9D9" w:themeFill="background1" w:themeFillShade="D9"/>
          </w:tcPr>
          <w:p w:rsidR="00317C66" w:rsidRPr="00B0415E" w:rsidRDefault="00317C66" w:rsidP="00BB10CB">
            <w:pPr>
              <w:rPr>
                <w:b/>
                <w:color w:val="002060"/>
              </w:rPr>
            </w:pPr>
            <w:r w:rsidRPr="00B0415E">
              <w:rPr>
                <w:b/>
                <w:color w:val="002060"/>
              </w:rPr>
              <w:t>Total Marks</w:t>
            </w:r>
          </w:p>
        </w:tc>
        <w:tc>
          <w:tcPr>
            <w:tcW w:w="4621" w:type="dxa"/>
          </w:tcPr>
          <w:p w:rsidR="00317C66" w:rsidRPr="00B0415E" w:rsidRDefault="00317C66" w:rsidP="00BB10CB">
            <w:pPr>
              <w:rPr>
                <w:rFonts w:cs="Times New Roman"/>
                <w:szCs w:val="32"/>
              </w:rPr>
            </w:pPr>
          </w:p>
        </w:tc>
      </w:tr>
      <w:tr w:rsidR="00317C66" w:rsidRPr="00B0415E" w:rsidTr="00BB10CB">
        <w:tc>
          <w:tcPr>
            <w:tcW w:w="4621" w:type="dxa"/>
            <w:shd w:val="clear" w:color="auto" w:fill="D9D9D9" w:themeFill="background1" w:themeFillShade="D9"/>
          </w:tcPr>
          <w:p w:rsidR="00317C66" w:rsidRPr="00B0415E" w:rsidRDefault="00317C66" w:rsidP="00BB10CB">
            <w:pPr>
              <w:rPr>
                <w:b/>
                <w:color w:val="002060"/>
              </w:rPr>
            </w:pPr>
            <w:r w:rsidRPr="00B0415E">
              <w:rPr>
                <w:b/>
                <w:color w:val="002060"/>
              </w:rPr>
              <w:t>Marks Obtained</w:t>
            </w:r>
          </w:p>
        </w:tc>
        <w:tc>
          <w:tcPr>
            <w:tcW w:w="4621" w:type="dxa"/>
          </w:tcPr>
          <w:p w:rsidR="00317C66" w:rsidRPr="00B0415E" w:rsidRDefault="00317C66" w:rsidP="00BB10CB">
            <w:pPr>
              <w:rPr>
                <w:rFonts w:cs="Times New Roman"/>
                <w:szCs w:val="32"/>
              </w:rPr>
            </w:pPr>
          </w:p>
        </w:tc>
      </w:tr>
      <w:tr w:rsidR="00317C66" w:rsidRPr="00B0415E" w:rsidTr="00BB10CB">
        <w:tc>
          <w:tcPr>
            <w:tcW w:w="4621" w:type="dxa"/>
            <w:shd w:val="clear" w:color="auto" w:fill="D9D9D9" w:themeFill="background1" w:themeFillShade="D9"/>
          </w:tcPr>
          <w:p w:rsidR="00317C66" w:rsidRPr="00B0415E" w:rsidRDefault="00317C66" w:rsidP="00BB10CB">
            <w:pPr>
              <w:rPr>
                <w:b/>
                <w:color w:val="002060"/>
              </w:rPr>
            </w:pPr>
            <w:r w:rsidRPr="00B0415E">
              <w:rPr>
                <w:b/>
                <w:color w:val="002060"/>
              </w:rPr>
              <w:t>Percentage / Grade</w:t>
            </w:r>
          </w:p>
        </w:tc>
        <w:tc>
          <w:tcPr>
            <w:tcW w:w="4621" w:type="dxa"/>
          </w:tcPr>
          <w:p w:rsidR="00317C66" w:rsidRPr="00B0415E" w:rsidRDefault="00317C66" w:rsidP="00BB10CB">
            <w:pPr>
              <w:rPr>
                <w:rFonts w:cs="Times New Roman"/>
                <w:szCs w:val="32"/>
              </w:rPr>
            </w:pPr>
          </w:p>
        </w:tc>
      </w:tr>
    </w:tbl>
    <w:p w:rsidR="00317C66" w:rsidRDefault="00317C66" w:rsidP="00317C66">
      <w:pPr>
        <w:rPr>
          <w:rFonts w:cs="Times New Roman"/>
          <w:sz w:val="24"/>
          <w:szCs w:val="32"/>
        </w:rPr>
      </w:pPr>
    </w:p>
    <w:p w:rsidR="00B568E8" w:rsidRDefault="00B568E8"/>
    <w:sectPr w:rsidR="00B568E8" w:rsidSect="00B568E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F7B3E"/>
    <w:multiLevelType w:val="hybridMultilevel"/>
    <w:tmpl w:val="490841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67DE7456"/>
    <w:multiLevelType w:val="hybridMultilevel"/>
    <w:tmpl w:val="A7F84B3C"/>
    <w:lvl w:ilvl="0" w:tplc="045C9124">
      <w:start w:val="4"/>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7C66"/>
    <w:rsid w:val="00317C66"/>
    <w:rsid w:val="00434348"/>
    <w:rsid w:val="00B568E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C6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7C6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17C6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17C66"/>
    <w:pPr>
      <w:ind w:left="720"/>
      <w:contextualSpacing/>
    </w:pPr>
    <w:rPr>
      <w:lang w:val="en-I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1236</Words>
  <Characters>7046</Characters>
  <Application>Microsoft Office Word</Application>
  <DocSecurity>0</DocSecurity>
  <Lines>58</Lines>
  <Paragraphs>16</Paragraphs>
  <ScaleCrop>false</ScaleCrop>
  <Company>Grizli777</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dc:creator>
  <cp:lastModifiedBy>Joanne</cp:lastModifiedBy>
  <cp:revision>1</cp:revision>
  <dcterms:created xsi:type="dcterms:W3CDTF">2015-01-09T16:38:00Z</dcterms:created>
  <dcterms:modified xsi:type="dcterms:W3CDTF">2015-01-09T16:41:00Z</dcterms:modified>
</cp:coreProperties>
</file>