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-359070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F3C3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E0FC1" w:rsidRDefault="00AE0FC1">
            <w:pPr>
              <w:pStyle w:val="Default"/>
              <w:rPr>
                <w:rFonts w:ascii="Arial" w:hAnsi="Arial" w:cs="Arial"/>
              </w:rPr>
            </w:pPr>
            <w:proofErr w:type="spellStart"/>
            <w:r>
              <w:rPr>
                <w:rFonts w:ascii="Arial" w:hAnsi="Arial" w:cs="Arial"/>
              </w:rPr>
              <w:t>Thabang</w:t>
            </w:r>
            <w:proofErr w:type="spellEnd"/>
            <w:r>
              <w:rPr>
                <w:rFonts w:ascii="Arial" w:hAnsi="Arial" w:cs="Arial"/>
              </w:rPr>
              <w:t xml:space="preserve"> </w:t>
            </w:r>
            <w:proofErr w:type="spellStart"/>
            <w:r>
              <w:rPr>
                <w:rFonts w:ascii="Arial" w:hAnsi="Arial" w:cs="Arial"/>
              </w:rPr>
              <w:t>Kotelo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E0FC1">
            <w:pPr>
              <w:pStyle w:val="Default"/>
              <w:rPr>
                <w:rFonts w:asciiTheme="minorHAnsi" w:hAnsiTheme="minorHAnsi"/>
              </w:rPr>
            </w:pPr>
            <w:r>
              <w:rPr>
                <w:rFonts w:asciiTheme="minorHAnsi" w:hAnsiTheme="minorHAnsi"/>
              </w:rPr>
              <w:t>1471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E0FC1" w:rsidRDefault="00BA05C5">
            <w:pPr>
              <w:pStyle w:val="Default"/>
              <w:rPr>
                <w:rFonts w:ascii="Arial" w:hAnsi="Arial" w:cs="Arial"/>
              </w:rPr>
            </w:pPr>
            <w:r>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05C5">
            <w:r>
              <w:t>7</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E103F" w:rsidRDefault="006E103F" w:rsidP="006E103F">
            <w:pPr>
              <w:rPr>
                <w:rFonts w:ascii="Arial" w:hAnsi="Arial" w:cs="Arial"/>
                <w:sz w:val="24"/>
                <w:szCs w:val="24"/>
              </w:rPr>
            </w:pPr>
            <w:r>
              <w:rPr>
                <w:rFonts w:ascii="Arial" w:hAnsi="Arial" w:cs="Arial"/>
                <w:sz w:val="24"/>
                <w:szCs w:val="24"/>
              </w:rPr>
              <w:t xml:space="preserve">                                                                                                          </w:t>
            </w:r>
          </w:p>
          <w:p w:rsidR="006E103F" w:rsidRDefault="006E103F" w:rsidP="006E103F">
            <w:pPr>
              <w:pStyle w:val="Header"/>
              <w:jc w:val="right"/>
            </w:pPr>
            <w:r>
              <w:rPr>
                <w:rFonts w:ascii="Arial" w:hAnsi="Arial" w:cs="Arial"/>
                <w:sz w:val="24"/>
                <w:szCs w:val="24"/>
              </w:rPr>
              <w:t xml:space="preserve">    </w:t>
            </w:r>
            <w:sdt>
              <w:sdtPr>
                <w:id w:val="2925659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6E103F" w:rsidRDefault="006E103F" w:rsidP="006E103F">
            <w:pPr>
              <w:pStyle w:val="Header"/>
            </w:pPr>
            <w:r>
              <w:t xml:space="preserve">                                                                                                                                   THABANG KOTELO</w:t>
            </w:r>
          </w:p>
          <w:p w:rsidR="006E103F" w:rsidRDefault="006E103F" w:rsidP="006E103F">
            <w:pPr>
              <w:pStyle w:val="Header"/>
            </w:pPr>
            <w:r>
              <w:t xml:space="preserve">                                                                                                                                   1471</w:t>
            </w:r>
          </w:p>
          <w:p w:rsidR="006E103F" w:rsidRDefault="006E103F" w:rsidP="006E103F">
            <w:pPr>
              <w:pStyle w:val="Header"/>
            </w:pPr>
            <w:r>
              <w:t xml:space="preserve">                                                                                                                                   ASSIGNMENT 7</w:t>
            </w:r>
          </w:p>
          <w:p w:rsidR="006E103F" w:rsidRDefault="006E103F" w:rsidP="006E103F">
            <w:pPr>
              <w:spacing w:line="360" w:lineRule="auto"/>
              <w:rPr>
                <w:rFonts w:ascii="Arial" w:hAnsi="Arial" w:cs="Arial"/>
                <w:sz w:val="24"/>
                <w:szCs w:val="24"/>
              </w:rPr>
            </w:pPr>
            <w:r>
              <w:rPr>
                <w:rFonts w:ascii="Arial" w:hAnsi="Arial" w:cs="Arial"/>
                <w:sz w:val="24"/>
                <w:szCs w:val="24"/>
              </w:rPr>
              <w:t xml:space="preserve">                                                                                                 </w:t>
            </w:r>
          </w:p>
          <w:p w:rsidR="006E103F" w:rsidRDefault="006E103F" w:rsidP="006E103F">
            <w:pPr>
              <w:pStyle w:val="ListParagraph"/>
              <w:numPr>
                <w:ilvl w:val="0"/>
                <w:numId w:val="2"/>
              </w:numPr>
              <w:spacing w:line="360" w:lineRule="auto"/>
              <w:rPr>
                <w:rFonts w:ascii="Arial" w:hAnsi="Arial" w:cs="Arial"/>
                <w:sz w:val="24"/>
                <w:szCs w:val="24"/>
              </w:rPr>
            </w:pPr>
            <w:r>
              <w:rPr>
                <w:rFonts w:ascii="Arial" w:hAnsi="Arial" w:cs="Arial"/>
                <w:sz w:val="24"/>
                <w:szCs w:val="24"/>
              </w:rPr>
              <w:t>Non-financial sources of evidence range from interviews, handwriting analysis and document examination to the physiological traits of the fraudster. Physiological traits refer to the fraudster`s behaviuor, expressions, or any communication that indicates the fraudster`s involvement in the crime.</w:t>
            </w:r>
          </w:p>
          <w:p w:rsidR="006E103F" w:rsidRDefault="006E103F" w:rsidP="006E103F">
            <w:pPr>
              <w:pStyle w:val="ListParagraph"/>
              <w:numPr>
                <w:ilvl w:val="0"/>
                <w:numId w:val="2"/>
              </w:numPr>
              <w:spacing w:line="360" w:lineRule="auto"/>
              <w:rPr>
                <w:rFonts w:ascii="Arial" w:hAnsi="Arial" w:cs="Arial"/>
                <w:sz w:val="24"/>
                <w:szCs w:val="24"/>
              </w:rPr>
            </w:pPr>
            <w:r>
              <w:rPr>
                <w:rFonts w:ascii="Arial" w:hAnsi="Arial" w:cs="Arial"/>
                <w:sz w:val="24"/>
                <w:szCs w:val="24"/>
              </w:rPr>
              <w:t>The importance of body language in the interviewing procedure is that humans reveal much more through their body language than through their words, especially when they are under stress therefore, an interviewer should always observe gestures and nonverbal behavior</w:t>
            </w:r>
          </w:p>
          <w:p w:rsidR="006E103F" w:rsidRDefault="006E103F" w:rsidP="006E103F">
            <w:pPr>
              <w:pStyle w:val="ListParagraph"/>
              <w:numPr>
                <w:ilvl w:val="0"/>
                <w:numId w:val="2"/>
              </w:numPr>
              <w:spacing w:line="360" w:lineRule="auto"/>
              <w:rPr>
                <w:rFonts w:ascii="Arial" w:hAnsi="Arial" w:cs="Arial"/>
                <w:sz w:val="24"/>
                <w:szCs w:val="24"/>
              </w:rPr>
            </w:pPr>
            <w:r>
              <w:rPr>
                <w:rFonts w:ascii="Arial" w:hAnsi="Arial" w:cs="Arial"/>
                <w:sz w:val="24"/>
                <w:szCs w:val="24"/>
              </w:rPr>
              <w:t>The SCAN (scientific content analysis) used as an investigative technique by working similarly to statement analysis.</w:t>
            </w:r>
            <w:r>
              <w:rPr>
                <w:rFonts w:ascii="Arial" w:hAnsi="Arial" w:cs="Arial"/>
                <w:sz w:val="24"/>
                <w:szCs w:val="24"/>
              </w:rPr>
              <w:tab/>
              <w:t>Scientific content analysis like statement analysis is aimed at detecting deception rather than determining truthfulness. SCAN looks for a shift in pronouns and gaps in the narrative which indicate deception.</w:t>
            </w:r>
          </w:p>
          <w:sdt>
            <w:sdtPr>
              <w:id w:val="500318731"/>
              <w:docPartObj>
                <w:docPartGallery w:val="Page Numbers (Top of Page)"/>
                <w:docPartUnique/>
              </w:docPartObj>
            </w:sdtPr>
            <w:sdtEndPr>
              <w:rPr>
                <w:noProof/>
              </w:rPr>
            </w:sdtEndPr>
            <w:sdtContent>
              <w:p w:rsidR="00AE0FC1" w:rsidRDefault="00AE0FC1" w:rsidP="00AE0FC1">
                <w:pPr>
                  <w:pStyle w:val="Header"/>
                  <w:jc w:val="right"/>
                </w:pPr>
                <w:r>
                  <w:t>2</w:t>
                </w:r>
              </w:p>
            </w:sdtContent>
          </w:sdt>
          <w:p w:rsidR="00AE0FC1" w:rsidRDefault="00AE0FC1" w:rsidP="00AE0FC1">
            <w:pPr>
              <w:pStyle w:val="Header"/>
            </w:pPr>
            <w:r>
              <w:t xml:space="preserve">                                                                                                                                   THABANG KOTELO</w:t>
            </w:r>
          </w:p>
          <w:p w:rsidR="00AE0FC1" w:rsidRDefault="00AE0FC1" w:rsidP="00AE0FC1">
            <w:pPr>
              <w:pStyle w:val="Header"/>
            </w:pPr>
            <w:r>
              <w:t xml:space="preserve">                                                                                                                                   1471</w:t>
            </w:r>
          </w:p>
          <w:p w:rsidR="00AE0FC1" w:rsidRDefault="00AE0FC1" w:rsidP="00AE0FC1">
            <w:pPr>
              <w:pStyle w:val="Header"/>
            </w:pPr>
            <w:r>
              <w:t xml:space="preserve">                                                                                                                                   ASSIGNMENT 7</w:t>
            </w:r>
          </w:p>
          <w:p w:rsidR="00AE0FC1" w:rsidRDefault="00AE0FC1" w:rsidP="00AE0FC1">
            <w:pPr>
              <w:pStyle w:val="ListParagraph"/>
              <w:spacing w:line="360" w:lineRule="auto"/>
              <w:rPr>
                <w:rFonts w:ascii="Arial" w:hAnsi="Arial" w:cs="Arial"/>
                <w:sz w:val="24"/>
                <w:szCs w:val="24"/>
              </w:rPr>
            </w:pPr>
          </w:p>
          <w:p w:rsidR="00AE0FC1" w:rsidRPr="00AE0FC1" w:rsidRDefault="00AE0FC1" w:rsidP="00AE0FC1">
            <w:pPr>
              <w:spacing w:line="360" w:lineRule="auto"/>
              <w:rPr>
                <w:rFonts w:ascii="Arial" w:hAnsi="Arial" w:cs="Arial"/>
                <w:sz w:val="24"/>
                <w:szCs w:val="24"/>
              </w:rPr>
            </w:pPr>
            <w:proofErr w:type="gramStart"/>
            <w:r>
              <w:rPr>
                <w:rFonts w:ascii="Arial" w:eastAsia="Calibri" w:hAnsi="Arial" w:cs="Arial"/>
                <w:sz w:val="24"/>
                <w:szCs w:val="24"/>
              </w:rPr>
              <w:t>iv</w:t>
            </w:r>
            <w:proofErr w:type="gramEnd"/>
            <w:r>
              <w:rPr>
                <w:rFonts w:ascii="Arial" w:eastAsia="Calibri" w:hAnsi="Arial" w:cs="Arial"/>
                <w:sz w:val="24"/>
                <w:szCs w:val="24"/>
              </w:rPr>
              <w:t>.</w:t>
            </w:r>
          </w:p>
          <w:p w:rsidR="006E103F" w:rsidRDefault="006E103F" w:rsidP="00AE0FC1">
            <w:pPr>
              <w:pStyle w:val="ListParagraph"/>
              <w:spacing w:line="360" w:lineRule="auto"/>
              <w:rPr>
                <w:rFonts w:ascii="Arial" w:hAnsi="Arial" w:cs="Arial"/>
                <w:sz w:val="24"/>
                <w:szCs w:val="24"/>
              </w:rPr>
            </w:pPr>
            <w:r>
              <w:rPr>
                <w:rFonts w:ascii="Arial" w:hAnsi="Arial" w:cs="Arial"/>
                <w:sz w:val="24"/>
                <w:szCs w:val="24"/>
              </w:rPr>
              <w:t xml:space="preserve">Visual accessing cues (SCAN) refers to the language of the eyes and the principles related to </w:t>
            </w:r>
            <w:proofErr w:type="spellStart"/>
            <w:r>
              <w:rPr>
                <w:rFonts w:ascii="Arial" w:hAnsi="Arial" w:cs="Arial"/>
                <w:sz w:val="24"/>
                <w:szCs w:val="24"/>
              </w:rPr>
              <w:t>it.Eye</w:t>
            </w:r>
            <w:proofErr w:type="spellEnd"/>
            <w:r>
              <w:rPr>
                <w:rFonts w:ascii="Arial" w:hAnsi="Arial" w:cs="Arial"/>
                <w:sz w:val="24"/>
                <w:szCs w:val="24"/>
              </w:rPr>
              <w:t xml:space="preserve"> movement cues and interpretations are only applicable to the right handed people therefore it is important to know whether the interviewee is right handed or left handed in order to interpret the cues correctly and to avoid interpreting truthful responses as deceitful.</w:t>
            </w:r>
          </w:p>
          <w:p w:rsidR="006E103F" w:rsidRPr="00AE0FC1" w:rsidRDefault="00AE0FC1" w:rsidP="00AE0FC1">
            <w:pPr>
              <w:spacing w:line="360" w:lineRule="auto"/>
              <w:ind w:left="360"/>
              <w:rPr>
                <w:rFonts w:ascii="Arial" w:hAnsi="Arial" w:cs="Arial"/>
                <w:sz w:val="24"/>
                <w:szCs w:val="24"/>
              </w:rPr>
            </w:pPr>
            <w:proofErr w:type="spellStart"/>
            <w:r>
              <w:rPr>
                <w:rFonts w:ascii="Arial" w:hAnsi="Arial" w:cs="Arial"/>
                <w:sz w:val="24"/>
                <w:szCs w:val="24"/>
              </w:rPr>
              <w:t>v.</w:t>
            </w:r>
            <w:r w:rsidR="006E103F" w:rsidRPr="00AE0FC1">
              <w:rPr>
                <w:rFonts w:ascii="Arial" w:hAnsi="Arial" w:cs="Arial"/>
                <w:sz w:val="24"/>
                <w:szCs w:val="24"/>
              </w:rPr>
              <w:t>These</w:t>
            </w:r>
            <w:proofErr w:type="spellEnd"/>
            <w:r w:rsidR="006E103F" w:rsidRPr="00AE0FC1">
              <w:rPr>
                <w:rFonts w:ascii="Arial" w:hAnsi="Arial" w:cs="Arial"/>
                <w:sz w:val="24"/>
                <w:szCs w:val="24"/>
              </w:rPr>
              <w:t xml:space="preserve"> include the following:</w:t>
            </w:r>
          </w:p>
          <w:p w:rsidR="006E103F" w:rsidRDefault="006E103F" w:rsidP="006E103F">
            <w:pPr>
              <w:pStyle w:val="ListParagraph"/>
              <w:numPr>
                <w:ilvl w:val="0"/>
                <w:numId w:val="3"/>
              </w:numPr>
              <w:spacing w:line="360" w:lineRule="auto"/>
              <w:rPr>
                <w:rFonts w:ascii="Arial" w:hAnsi="Arial" w:cs="Arial"/>
                <w:sz w:val="24"/>
                <w:szCs w:val="24"/>
              </w:rPr>
            </w:pPr>
            <w:r>
              <w:rPr>
                <w:rFonts w:ascii="Arial" w:hAnsi="Arial" w:cs="Arial"/>
                <w:sz w:val="24"/>
                <w:szCs w:val="24"/>
              </w:rPr>
              <w:t>Interpersonal interactions e.g. a person may shake his head and say “yes’ after making point, these are inconsistent gestures.</w:t>
            </w:r>
          </w:p>
          <w:p w:rsidR="006E103F" w:rsidRDefault="006E103F" w:rsidP="006E103F">
            <w:pPr>
              <w:pStyle w:val="ListParagraph"/>
              <w:numPr>
                <w:ilvl w:val="0"/>
                <w:numId w:val="3"/>
              </w:numPr>
              <w:spacing w:line="360" w:lineRule="auto"/>
              <w:rPr>
                <w:rFonts w:ascii="Arial" w:hAnsi="Arial" w:cs="Arial"/>
                <w:sz w:val="24"/>
                <w:szCs w:val="24"/>
              </w:rPr>
            </w:pPr>
            <w:r>
              <w:rPr>
                <w:rFonts w:ascii="Arial" w:hAnsi="Arial" w:cs="Arial"/>
                <w:sz w:val="24"/>
                <w:szCs w:val="24"/>
              </w:rPr>
              <w:t>Emotional status. A deceitful person will usually avoid touching the person investigating or questioning him/her.</w:t>
            </w:r>
          </w:p>
          <w:p w:rsidR="006E103F" w:rsidRDefault="006E103F" w:rsidP="006E103F">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Verbal content e.g. reflecting questions in the answer immediately after the questions have been asked. Question “Did you write a </w:t>
            </w:r>
            <w:proofErr w:type="spellStart"/>
            <w:r>
              <w:rPr>
                <w:rFonts w:ascii="Arial" w:hAnsi="Arial" w:cs="Arial"/>
                <w:sz w:val="24"/>
                <w:szCs w:val="24"/>
              </w:rPr>
              <w:t>chegue</w:t>
            </w:r>
            <w:proofErr w:type="spellEnd"/>
            <w:r>
              <w:rPr>
                <w:rFonts w:ascii="Arial" w:hAnsi="Arial" w:cs="Arial"/>
                <w:sz w:val="24"/>
                <w:szCs w:val="24"/>
              </w:rPr>
              <w:t xml:space="preserve"> to yourself?” Answer  “No I did not write a </w:t>
            </w:r>
            <w:proofErr w:type="spellStart"/>
            <w:r>
              <w:rPr>
                <w:rFonts w:ascii="Arial" w:hAnsi="Arial" w:cs="Arial"/>
                <w:sz w:val="24"/>
                <w:szCs w:val="24"/>
              </w:rPr>
              <w:t>chegue</w:t>
            </w:r>
            <w:proofErr w:type="spellEnd"/>
            <w:r>
              <w:rPr>
                <w:rFonts w:ascii="Arial" w:hAnsi="Arial" w:cs="Arial"/>
                <w:sz w:val="24"/>
                <w:szCs w:val="24"/>
              </w:rPr>
              <w:t xml:space="preserve">  to myself”</w:t>
            </w:r>
          </w:p>
          <w:p w:rsidR="006E103F" w:rsidRPr="00AE0FC1" w:rsidRDefault="006E103F" w:rsidP="006E103F">
            <w:pPr>
              <w:pStyle w:val="ListParagraph"/>
              <w:numPr>
                <w:ilvl w:val="0"/>
                <w:numId w:val="3"/>
              </w:numPr>
              <w:spacing w:line="360" w:lineRule="auto"/>
              <w:rPr>
                <w:rFonts w:ascii="Arial" w:hAnsi="Arial" w:cs="Arial"/>
                <w:sz w:val="24"/>
                <w:szCs w:val="24"/>
              </w:rPr>
            </w:pPr>
            <w:r>
              <w:rPr>
                <w:rFonts w:ascii="Arial" w:hAnsi="Arial" w:cs="Arial"/>
                <w:sz w:val="24"/>
                <w:szCs w:val="24"/>
              </w:rPr>
              <w:t>How comments are framed.</w:t>
            </w:r>
            <w:r w:rsidRPr="00AE0FC1">
              <w:rPr>
                <w:rFonts w:ascii="Arial" w:hAnsi="Arial" w:cs="Arial"/>
                <w:sz w:val="24"/>
                <w:szCs w:val="24"/>
              </w:rPr>
              <w:t xml:space="preserve">                                                                                                             </w:t>
            </w:r>
          </w:p>
          <w:p w:rsidR="00AE0FC1" w:rsidRPr="00AE0FC1" w:rsidRDefault="006E103F" w:rsidP="006E103F">
            <w:pPr>
              <w:pStyle w:val="ListParagraph"/>
              <w:numPr>
                <w:ilvl w:val="0"/>
                <w:numId w:val="3"/>
              </w:numPr>
              <w:spacing w:line="360" w:lineRule="auto"/>
              <w:rPr>
                <w:rFonts w:ascii="Arial" w:hAnsi="Arial" w:cs="Arial"/>
                <w:sz w:val="24"/>
                <w:szCs w:val="24"/>
              </w:rPr>
            </w:pPr>
            <w:r>
              <w:rPr>
                <w:rFonts w:ascii="Arial" w:hAnsi="Arial" w:cs="Arial"/>
                <w:sz w:val="24"/>
                <w:szCs w:val="24"/>
              </w:rPr>
              <w:t>Psychological frames.</w:t>
            </w:r>
          </w:p>
          <w:p w:rsidR="006E103F" w:rsidRDefault="006E103F" w:rsidP="006E103F">
            <w:pPr>
              <w:spacing w:line="360" w:lineRule="auto"/>
              <w:rPr>
                <w:rFonts w:ascii="Arial" w:hAnsi="Arial" w:cs="Arial"/>
                <w:sz w:val="24"/>
                <w:szCs w:val="24"/>
              </w:rPr>
            </w:pPr>
            <w:r>
              <w:rPr>
                <w:rFonts w:ascii="Arial" w:hAnsi="Arial" w:cs="Arial"/>
                <w:sz w:val="24"/>
                <w:szCs w:val="24"/>
              </w:rPr>
              <w:t xml:space="preserve">2    There is a difference between asking questions during an audit and during a fraud investigation in order to ask effective questions during a fraud investigation, it is important to use best practices for interview </w:t>
            </w:r>
            <w:proofErr w:type="spellStart"/>
            <w:r>
              <w:rPr>
                <w:rFonts w:ascii="Arial" w:hAnsi="Arial" w:cs="Arial"/>
                <w:sz w:val="24"/>
                <w:szCs w:val="24"/>
              </w:rPr>
              <w:t>technigues.According</w:t>
            </w:r>
            <w:proofErr w:type="spellEnd"/>
            <w:r>
              <w:rPr>
                <w:rFonts w:ascii="Arial" w:hAnsi="Arial" w:cs="Arial"/>
                <w:sz w:val="24"/>
                <w:szCs w:val="24"/>
              </w:rPr>
              <w:t xml:space="preserve"> to the founder of the Association of Certified fraud Examiners (ACFE) Joe Well “the best clues usually do not come from the books but from the people who work with them. Questions asked during an interview might fall into any of the following categories </w:t>
            </w:r>
            <w:proofErr w:type="gramStart"/>
            <w:r>
              <w:rPr>
                <w:rFonts w:ascii="Arial" w:hAnsi="Arial" w:cs="Arial"/>
                <w:sz w:val="24"/>
                <w:szCs w:val="24"/>
              </w:rPr>
              <w:t>:(</w:t>
            </w:r>
            <w:proofErr w:type="spellStart"/>
            <w:proofErr w:type="gramEnd"/>
            <w:r>
              <w:rPr>
                <w:rFonts w:ascii="Arial" w:hAnsi="Arial" w:cs="Arial"/>
                <w:sz w:val="24"/>
                <w:szCs w:val="24"/>
              </w:rPr>
              <w:t>i</w:t>
            </w:r>
            <w:proofErr w:type="spellEnd"/>
            <w:r>
              <w:rPr>
                <w:rFonts w:ascii="Arial" w:hAnsi="Arial" w:cs="Arial"/>
                <w:sz w:val="24"/>
                <w:szCs w:val="24"/>
              </w:rPr>
              <w:t>)Introductory (ii) Informational (iii)Assessment(iv) Closing (v) Admission seeking. According to the most expert Open ended questions are much more effective than simple “yes’ or “no’ Questions one of the risks associated with interviews during fraud investigation is that the interviewer may not be trained or experienced in employing best practices for interviews or worse, may not be familiar with the legal protocol of carrying out interviews.</w:t>
            </w:r>
          </w:p>
          <w:p w:rsidR="006E103F" w:rsidRDefault="006E103F" w:rsidP="006E103F">
            <w:pPr>
              <w:spacing w:line="360" w:lineRule="auto"/>
              <w:rPr>
                <w:rFonts w:ascii="Arial" w:hAnsi="Arial" w:cs="Arial"/>
                <w:sz w:val="24"/>
                <w:szCs w:val="24"/>
              </w:rPr>
            </w:pPr>
          </w:p>
          <w:p w:rsidR="006E103F" w:rsidRDefault="006E103F" w:rsidP="006E103F">
            <w:pPr>
              <w:spacing w:line="360" w:lineRule="auto"/>
              <w:rPr>
                <w:rFonts w:ascii="Arial" w:hAnsi="Arial" w:cs="Arial"/>
                <w:sz w:val="24"/>
                <w:szCs w:val="24"/>
              </w:rPr>
            </w:pPr>
          </w:p>
          <w:p w:rsidR="006E103F" w:rsidRDefault="006E103F" w:rsidP="006E103F">
            <w:pPr>
              <w:spacing w:line="360" w:lineRule="auto"/>
              <w:rPr>
                <w:rFonts w:ascii="Arial" w:hAnsi="Arial" w:cs="Arial"/>
                <w:sz w:val="24"/>
                <w:szCs w:val="24"/>
              </w:rPr>
            </w:pPr>
          </w:p>
          <w:p w:rsidR="006E103F" w:rsidRDefault="006E103F" w:rsidP="006E103F">
            <w:pPr>
              <w:spacing w:line="360" w:lineRule="auto"/>
              <w:rPr>
                <w:rFonts w:ascii="Arial" w:hAnsi="Arial" w:cs="Arial"/>
                <w:sz w:val="24"/>
                <w:szCs w:val="24"/>
              </w:rPr>
            </w:pPr>
          </w:p>
          <w:sdt>
            <w:sdtPr>
              <w:id w:val="595131004"/>
              <w:docPartObj>
                <w:docPartGallery w:val="Page Numbers (Top of Page)"/>
                <w:docPartUnique/>
              </w:docPartObj>
            </w:sdtPr>
            <w:sdtEndPr>
              <w:rPr>
                <w:noProof/>
              </w:rPr>
            </w:sdtEndPr>
            <w:sdtContent>
              <w:p w:rsidR="006E103F" w:rsidRDefault="00AE0FC1" w:rsidP="006E103F">
                <w:pPr>
                  <w:pStyle w:val="Header"/>
                  <w:jc w:val="right"/>
                </w:pPr>
                <w:r>
                  <w:t>3</w:t>
                </w:r>
              </w:p>
            </w:sdtContent>
          </w:sdt>
          <w:p w:rsidR="006E103F" w:rsidRDefault="006E103F" w:rsidP="006E103F">
            <w:pPr>
              <w:pStyle w:val="Header"/>
            </w:pPr>
            <w:r>
              <w:t xml:space="preserve">                                                                                                                                   THABANG KOTELO</w:t>
            </w:r>
          </w:p>
          <w:p w:rsidR="006E103F" w:rsidRDefault="006E103F" w:rsidP="006E103F">
            <w:pPr>
              <w:pStyle w:val="Header"/>
            </w:pPr>
            <w:r>
              <w:t xml:space="preserve">                                                                                                                                   1471</w:t>
            </w:r>
          </w:p>
          <w:p w:rsidR="006E103F" w:rsidRDefault="006E103F" w:rsidP="006E103F">
            <w:pPr>
              <w:pStyle w:val="Header"/>
            </w:pPr>
            <w:r>
              <w:t xml:space="preserve">                                                                                                                                   ASSIGNMENT 7</w:t>
            </w:r>
          </w:p>
          <w:p w:rsidR="006E103F" w:rsidRDefault="006E103F" w:rsidP="006E103F">
            <w:pPr>
              <w:spacing w:line="360" w:lineRule="auto"/>
              <w:rPr>
                <w:rFonts w:ascii="Arial" w:hAnsi="Arial" w:cs="Arial"/>
                <w:sz w:val="24"/>
                <w:szCs w:val="24"/>
              </w:rPr>
            </w:pPr>
          </w:p>
          <w:p w:rsidR="006E103F" w:rsidRDefault="006E103F" w:rsidP="006E103F">
            <w:pPr>
              <w:spacing w:line="360" w:lineRule="auto"/>
              <w:rPr>
                <w:rFonts w:ascii="Arial" w:hAnsi="Arial" w:cs="Arial"/>
                <w:sz w:val="24"/>
                <w:szCs w:val="24"/>
              </w:rPr>
            </w:pPr>
          </w:p>
          <w:p w:rsidR="006E103F" w:rsidRDefault="006E103F" w:rsidP="006E103F">
            <w:pPr>
              <w:spacing w:line="360" w:lineRule="auto"/>
              <w:rPr>
                <w:rFonts w:ascii="Arial" w:hAnsi="Arial" w:cs="Arial"/>
                <w:sz w:val="24"/>
                <w:szCs w:val="24"/>
              </w:rPr>
            </w:pPr>
          </w:p>
          <w:p w:rsidR="006E103F" w:rsidRDefault="006E103F" w:rsidP="006E103F">
            <w:pPr>
              <w:spacing w:line="360" w:lineRule="auto"/>
              <w:rPr>
                <w:rFonts w:ascii="Arial" w:hAnsi="Arial" w:cs="Arial"/>
                <w:sz w:val="24"/>
                <w:szCs w:val="24"/>
              </w:rPr>
            </w:pPr>
          </w:p>
          <w:p w:rsidR="006E103F" w:rsidRDefault="006E103F" w:rsidP="006E103F">
            <w:pPr>
              <w:spacing w:line="360" w:lineRule="auto"/>
              <w:rPr>
                <w:rFonts w:ascii="Arial" w:hAnsi="Arial" w:cs="Arial"/>
                <w:sz w:val="24"/>
                <w:szCs w:val="24"/>
              </w:rPr>
            </w:pPr>
            <w:r>
              <w:rPr>
                <w:rFonts w:ascii="Arial" w:hAnsi="Arial" w:cs="Arial"/>
                <w:sz w:val="24"/>
                <w:szCs w:val="24"/>
              </w:rPr>
              <w:t>3 The interviewing procedure for a financial sophisticated victim is:</w:t>
            </w:r>
          </w:p>
          <w:p w:rsidR="006E103F" w:rsidRDefault="006E103F" w:rsidP="006E103F">
            <w:pPr>
              <w:pStyle w:val="ListParagraph"/>
              <w:numPr>
                <w:ilvl w:val="0"/>
                <w:numId w:val="4"/>
              </w:numPr>
              <w:spacing w:line="360" w:lineRule="auto"/>
              <w:rPr>
                <w:rFonts w:ascii="Arial" w:hAnsi="Arial" w:cs="Arial"/>
                <w:sz w:val="24"/>
                <w:szCs w:val="24"/>
              </w:rPr>
            </w:pPr>
            <w:r>
              <w:rPr>
                <w:rFonts w:ascii="Arial" w:hAnsi="Arial" w:cs="Arial"/>
                <w:sz w:val="24"/>
                <w:szCs w:val="24"/>
              </w:rPr>
              <w:t>Prepare yourself</w:t>
            </w:r>
          </w:p>
          <w:p w:rsidR="006E103F" w:rsidRDefault="006E103F" w:rsidP="006E103F">
            <w:pPr>
              <w:pStyle w:val="ListParagraph"/>
              <w:numPr>
                <w:ilvl w:val="0"/>
                <w:numId w:val="4"/>
              </w:numPr>
              <w:spacing w:line="360" w:lineRule="auto"/>
              <w:rPr>
                <w:rFonts w:ascii="Arial" w:hAnsi="Arial" w:cs="Arial"/>
                <w:sz w:val="24"/>
                <w:szCs w:val="24"/>
              </w:rPr>
            </w:pPr>
            <w:r>
              <w:rPr>
                <w:rFonts w:ascii="Arial" w:hAnsi="Arial" w:cs="Arial"/>
                <w:sz w:val="24"/>
                <w:szCs w:val="24"/>
              </w:rPr>
              <w:t>Think before you interview</w:t>
            </w:r>
          </w:p>
          <w:p w:rsidR="006E103F" w:rsidRDefault="006E103F" w:rsidP="006E103F">
            <w:pPr>
              <w:pStyle w:val="ListParagraph"/>
              <w:numPr>
                <w:ilvl w:val="0"/>
                <w:numId w:val="4"/>
              </w:numPr>
              <w:spacing w:line="360" w:lineRule="auto"/>
              <w:rPr>
                <w:rFonts w:ascii="Arial" w:hAnsi="Arial" w:cs="Arial"/>
                <w:sz w:val="24"/>
                <w:szCs w:val="24"/>
              </w:rPr>
            </w:pPr>
            <w:r>
              <w:rPr>
                <w:rFonts w:ascii="Arial" w:hAnsi="Arial" w:cs="Arial"/>
                <w:sz w:val="24"/>
                <w:szCs w:val="24"/>
              </w:rPr>
              <w:t>Set the tone</w:t>
            </w:r>
          </w:p>
          <w:p w:rsidR="006E103F" w:rsidRDefault="006E103F" w:rsidP="006E103F">
            <w:pPr>
              <w:pStyle w:val="ListParagraph"/>
              <w:numPr>
                <w:ilvl w:val="0"/>
                <w:numId w:val="4"/>
              </w:numPr>
              <w:spacing w:line="360" w:lineRule="auto"/>
              <w:rPr>
                <w:rFonts w:ascii="Arial" w:hAnsi="Arial" w:cs="Arial"/>
                <w:sz w:val="24"/>
                <w:szCs w:val="24"/>
              </w:rPr>
            </w:pPr>
            <w:r>
              <w:rPr>
                <w:rFonts w:ascii="Arial" w:hAnsi="Arial" w:cs="Arial"/>
                <w:sz w:val="24"/>
                <w:szCs w:val="24"/>
              </w:rPr>
              <w:t>Look for non-verbal behavior</w:t>
            </w:r>
          </w:p>
          <w:p w:rsidR="006E103F" w:rsidRDefault="006E103F" w:rsidP="006E103F">
            <w:pPr>
              <w:pStyle w:val="ListParagraph"/>
              <w:numPr>
                <w:ilvl w:val="0"/>
                <w:numId w:val="4"/>
              </w:numPr>
              <w:spacing w:line="360" w:lineRule="auto"/>
              <w:rPr>
                <w:rFonts w:ascii="Arial" w:hAnsi="Arial" w:cs="Arial"/>
                <w:sz w:val="24"/>
                <w:szCs w:val="24"/>
              </w:rPr>
            </w:pPr>
            <w:r>
              <w:rPr>
                <w:rFonts w:ascii="Arial" w:hAnsi="Arial" w:cs="Arial"/>
                <w:sz w:val="24"/>
                <w:szCs w:val="24"/>
              </w:rPr>
              <w:t>Ask your questions in flow</w:t>
            </w:r>
          </w:p>
          <w:p w:rsidR="006E103F" w:rsidRDefault="006E103F" w:rsidP="006E103F">
            <w:pPr>
              <w:pStyle w:val="ListParagraph"/>
              <w:numPr>
                <w:ilvl w:val="0"/>
                <w:numId w:val="4"/>
              </w:numPr>
              <w:spacing w:line="360" w:lineRule="auto"/>
              <w:rPr>
                <w:rFonts w:ascii="Arial" w:hAnsi="Arial" w:cs="Arial"/>
                <w:sz w:val="24"/>
                <w:szCs w:val="24"/>
              </w:rPr>
            </w:pPr>
            <w:r>
              <w:rPr>
                <w:rFonts w:ascii="Arial" w:hAnsi="Arial" w:cs="Arial"/>
                <w:sz w:val="24"/>
                <w:szCs w:val="24"/>
              </w:rPr>
              <w:t>Be direct to the point</w:t>
            </w:r>
          </w:p>
          <w:p w:rsidR="006E103F" w:rsidRDefault="006E103F" w:rsidP="006E103F">
            <w:pPr>
              <w:pStyle w:val="ListParagraph"/>
              <w:numPr>
                <w:ilvl w:val="0"/>
                <w:numId w:val="4"/>
              </w:numPr>
              <w:spacing w:line="360" w:lineRule="auto"/>
              <w:rPr>
                <w:rFonts w:ascii="Arial" w:hAnsi="Arial" w:cs="Arial"/>
                <w:sz w:val="24"/>
                <w:szCs w:val="24"/>
              </w:rPr>
            </w:pPr>
            <w:r>
              <w:rPr>
                <w:rFonts w:ascii="Arial" w:hAnsi="Arial" w:cs="Arial"/>
                <w:sz w:val="24"/>
                <w:szCs w:val="24"/>
              </w:rPr>
              <w:t>Do more listening than talking</w:t>
            </w:r>
          </w:p>
          <w:p w:rsidR="006E103F" w:rsidRDefault="006E103F" w:rsidP="006E103F">
            <w:pPr>
              <w:pStyle w:val="ListParagraph"/>
              <w:numPr>
                <w:ilvl w:val="0"/>
                <w:numId w:val="4"/>
              </w:numPr>
              <w:spacing w:line="360" w:lineRule="auto"/>
              <w:rPr>
                <w:rFonts w:ascii="Arial" w:hAnsi="Arial" w:cs="Arial"/>
                <w:sz w:val="24"/>
                <w:szCs w:val="24"/>
              </w:rPr>
            </w:pPr>
            <w:r>
              <w:rPr>
                <w:rFonts w:ascii="Arial" w:hAnsi="Arial" w:cs="Arial"/>
                <w:sz w:val="24"/>
                <w:szCs w:val="24"/>
              </w:rPr>
              <w:t>Take your time</w:t>
            </w:r>
          </w:p>
          <w:p w:rsidR="006E103F" w:rsidRDefault="006E103F" w:rsidP="006E103F">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Verify the evidence </w:t>
            </w:r>
          </w:p>
          <w:p w:rsidR="006E103F" w:rsidRPr="00A613D0" w:rsidRDefault="006E103F" w:rsidP="006E103F">
            <w:pPr>
              <w:pStyle w:val="ListParagraph"/>
              <w:numPr>
                <w:ilvl w:val="0"/>
                <w:numId w:val="4"/>
              </w:numPr>
              <w:spacing w:line="360" w:lineRule="auto"/>
              <w:rPr>
                <w:rFonts w:ascii="Arial" w:hAnsi="Arial" w:cs="Arial"/>
                <w:sz w:val="24"/>
                <w:szCs w:val="24"/>
              </w:rPr>
            </w:pPr>
            <w:r>
              <w:rPr>
                <w:rFonts w:ascii="Arial" w:hAnsi="Arial" w:cs="Arial"/>
                <w:sz w:val="24"/>
                <w:szCs w:val="24"/>
              </w:rPr>
              <w:t>Get in writing.</w:t>
            </w:r>
          </w:p>
          <w:p w:rsidR="006E103F" w:rsidRPr="00BB1459" w:rsidRDefault="006E103F" w:rsidP="006E103F">
            <w:pPr>
              <w:pStyle w:val="ListParagraph"/>
              <w:spacing w:line="360" w:lineRule="auto"/>
              <w:ind w:left="1440"/>
              <w:rPr>
                <w:rFonts w:ascii="Arial" w:hAnsi="Arial" w:cs="Arial"/>
                <w:sz w:val="24"/>
                <w:szCs w:val="24"/>
              </w:rPr>
            </w:pPr>
          </w:p>
          <w:p w:rsidR="006E103F" w:rsidRPr="00BB1459" w:rsidRDefault="006E103F" w:rsidP="006E103F">
            <w:pPr>
              <w:pStyle w:val="ListParagraph"/>
              <w:spacing w:line="360" w:lineRule="auto"/>
              <w:ind w:left="1440"/>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D55F9" w:rsidP="00A851DA">
            <w:pPr>
              <w:rPr>
                <w:rFonts w:cs="Bliss-Regular"/>
                <w:color w:val="000000"/>
              </w:rPr>
            </w:pPr>
            <w:proofErr w:type="spellStart"/>
            <w:r>
              <w:rPr>
                <w:rFonts w:cs="Bliss-Regular"/>
                <w:color w:val="000000"/>
              </w:rPr>
              <w:t>Thabang</w:t>
            </w:r>
            <w:proofErr w:type="spellEnd"/>
            <w:r>
              <w:rPr>
                <w:rFonts w:cs="Bliss-Regular"/>
                <w:color w:val="000000"/>
              </w:rPr>
              <w:t xml:space="preserve"> </w:t>
            </w:r>
            <w:proofErr w:type="spellStart"/>
            <w:r>
              <w:rPr>
                <w:rFonts w:cs="Bliss-Regular"/>
                <w:color w:val="000000"/>
              </w:rPr>
              <w:t>kotelo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D55F9" w:rsidP="00A851DA">
            <w:pPr>
              <w:rPr>
                <w:rFonts w:cs="Bliss-Regular"/>
                <w:color w:val="000000"/>
              </w:rPr>
            </w:pPr>
            <w:r>
              <w:rPr>
                <w:rFonts w:cs="Bliss-Regular"/>
                <w:color w:val="000000"/>
              </w:rPr>
              <w:t>27/11/2015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bookmarkEnd w:id="0"/>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010A" w:rsidRDefault="0046010A" w:rsidP="00CB4D0A">
      <w:pPr>
        <w:spacing w:after="0" w:line="240" w:lineRule="auto"/>
      </w:pPr>
      <w:r>
        <w:separator/>
      </w:r>
    </w:p>
  </w:endnote>
  <w:endnote w:type="continuationSeparator" w:id="0">
    <w:p w:rsidR="0046010A" w:rsidRDefault="0046010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010A" w:rsidRDefault="0046010A" w:rsidP="00CB4D0A">
      <w:pPr>
        <w:spacing w:after="0" w:line="240" w:lineRule="auto"/>
      </w:pPr>
      <w:r>
        <w:separator/>
      </w:r>
    </w:p>
  </w:footnote>
  <w:footnote w:type="continuationSeparator" w:id="0">
    <w:p w:rsidR="0046010A" w:rsidRDefault="0046010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82679"/>
    <w:multiLevelType w:val="hybridMultilevel"/>
    <w:tmpl w:val="42CE49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DFE3831"/>
    <w:multiLevelType w:val="hybridMultilevel"/>
    <w:tmpl w:val="C8B2E61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0AE22B1"/>
    <w:multiLevelType w:val="hybridMultilevel"/>
    <w:tmpl w:val="0E867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17CC"/>
    <w:rsid w:val="00443E6F"/>
    <w:rsid w:val="0046010A"/>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103F"/>
    <w:rsid w:val="0070347F"/>
    <w:rsid w:val="0070678E"/>
    <w:rsid w:val="007D55F9"/>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0FC1"/>
    <w:rsid w:val="00AE1481"/>
    <w:rsid w:val="00B0415E"/>
    <w:rsid w:val="00B04678"/>
    <w:rsid w:val="00BA05C5"/>
    <w:rsid w:val="00BC46DF"/>
    <w:rsid w:val="00C03577"/>
    <w:rsid w:val="00C53029"/>
    <w:rsid w:val="00C65FEA"/>
    <w:rsid w:val="00C70759"/>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3C3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6BF07-2DB5-48FD-8D06-022DAE53D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816</Words>
  <Characters>4655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Thabang Kotelo</cp:lastModifiedBy>
  <cp:revision>8</cp:revision>
  <dcterms:created xsi:type="dcterms:W3CDTF">2015-11-16T12:05:00Z</dcterms:created>
  <dcterms:modified xsi:type="dcterms:W3CDTF">2015-11-26T07:39:00Z</dcterms:modified>
</cp:coreProperties>
</file>