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86576" w:rsidRDefault="00607874" w:rsidP="00A851DA">
      <w:pPr>
        <w:pStyle w:val="Default"/>
        <w:rPr>
          <w:rFonts w:ascii="Arial" w:hAnsi="Arial" w:cs="Arial"/>
        </w:rPr>
      </w:pPr>
      <w:bookmarkStart w:id="0" w:name="_GoBack"/>
      <w:bookmarkEnd w:id="0"/>
      <w:r w:rsidRPr="00C86576">
        <w:rPr>
          <w:rFonts w:ascii="Arial" w:hAnsi="Arial" w:cs="Arial"/>
          <w:noProof/>
        </w:rPr>
        <w:drawing>
          <wp:anchor distT="0" distB="0" distL="114300" distR="114300" simplePos="0" relativeHeight="251658240" behindDoc="0" locked="0" layoutInCell="1" allowOverlap="1" wp14:anchorId="59AD5126" wp14:editId="690F0C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86576">
        <w:rPr>
          <w:rFonts w:ascii="Arial" w:hAnsi="Arial" w:cs="Arial"/>
        </w:rPr>
        <w:t xml:space="preserve">                                                             </w:t>
      </w:r>
      <w:r w:rsidR="00405895" w:rsidRPr="00C86576">
        <w:rPr>
          <w:rFonts w:ascii="Arial" w:hAnsi="Arial" w:cs="Arial"/>
        </w:rPr>
        <w:t xml:space="preserve">     </w:t>
      </w:r>
    </w:p>
    <w:p w:rsidR="00607874" w:rsidRPr="00C86576" w:rsidRDefault="00606665"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86576" w:rsidRDefault="00607874" w:rsidP="00A851DA">
      <w:pPr>
        <w:rPr>
          <w:rFonts w:ascii="Arial" w:hAnsi="Arial" w:cs="Arial"/>
          <w:sz w:val="24"/>
          <w:szCs w:val="24"/>
        </w:rPr>
      </w:pPr>
    </w:p>
    <w:p w:rsidR="00607874" w:rsidRPr="00C86576" w:rsidRDefault="00607874" w:rsidP="00A851DA">
      <w:pPr>
        <w:rPr>
          <w:rFonts w:ascii="Arial" w:hAnsi="Arial" w:cs="Arial"/>
          <w:sz w:val="24"/>
          <w:szCs w:val="24"/>
        </w:rPr>
      </w:pPr>
    </w:p>
    <w:p w:rsidR="00607874" w:rsidRPr="00C86576"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1A269E">
            <w:pPr>
              <w:pStyle w:val="Default"/>
              <w:rPr>
                <w:rFonts w:ascii="Arial" w:hAnsi="Arial" w:cs="Arial"/>
              </w:rPr>
            </w:pPr>
            <w:r>
              <w:rPr>
                <w:rFonts w:ascii="Arial" w:hAnsi="Arial" w:cs="Arial"/>
              </w:rPr>
              <w:t>Isaac Marfo Oduro</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86576" w:rsidRDefault="001A269E">
            <w:pPr>
              <w:pStyle w:val="Default"/>
              <w:rPr>
                <w:rFonts w:ascii="Arial" w:hAnsi="Arial" w:cs="Arial"/>
              </w:rPr>
            </w:pPr>
            <w:r>
              <w:rPr>
                <w:rFonts w:ascii="Arial" w:hAnsi="Arial" w:cs="Arial"/>
              </w:rPr>
              <w:t>1460</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pStyle w:val="Default"/>
              <w:rPr>
                <w:rFonts w:ascii="Arial" w:hAnsi="Arial" w:cs="Arial"/>
              </w:rPr>
            </w:pPr>
            <w:r w:rsidRPr="00C86576">
              <w:rPr>
                <w:rFonts w:ascii="Arial" w:hAnsi="Arial" w:cs="Arial"/>
              </w:rPr>
              <w:t>Diploma in Forensic Accounting</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rPr>
                <w:rFonts w:ascii="Arial" w:hAnsi="Arial" w:cs="Arial"/>
                <w:sz w:val="24"/>
                <w:szCs w:val="24"/>
              </w:rPr>
            </w:pPr>
            <w:r w:rsidRPr="00C86576">
              <w:rPr>
                <w:rFonts w:ascii="Arial" w:hAnsi="Arial" w:cs="Arial"/>
                <w:sz w:val="24"/>
                <w:szCs w:val="24"/>
              </w:rPr>
              <w:t>07</w:t>
            </w:r>
          </w:p>
        </w:tc>
      </w:tr>
    </w:tbl>
    <w:p w:rsidR="00CC2FB3" w:rsidRPr="00C86576"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C86576" w:rsidTr="00CC2FB3">
        <w:tc>
          <w:tcPr>
            <w:tcW w:w="9242" w:type="dxa"/>
          </w:tcPr>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1</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Give short answers for the following questions:</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are the non- financial sources for the evidence?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Evidence in fraud can potentially come from a variety of sources both financial and nonfinancial. Generally the focus is on fraud investigation tends to be mostly, if not solely, financial. Fraud investigators and auditors should consider the possibility of valuable evidence that is nonfinancial.</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Nonfinancial sources include interviews, document examination, handwriting analysis, and physiological aspects of the fraudster. The latter refers to something the fraudster reveals in behaviours, physical expressions, or communications that can be cues as to the veracity of the fraudster’s statements about his or her involvement in the fraud in question.</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primary purpose of the physiological techniques and concepts is to detect deception. If a fraud is being perpetrated, the fraudster is certainly being as furtive as possible including using deception in appearance and communications.</w:t>
            </w:r>
          </w:p>
          <w:p w:rsidR="00804EFB" w:rsidRDefault="00804EFB" w:rsidP="00804EFB">
            <w:pPr>
              <w:autoSpaceDE w:val="0"/>
              <w:autoSpaceDN w:val="0"/>
              <w:adjustRightInd w:val="0"/>
              <w:spacing w:before="100" w:beforeAutospacing="1" w:after="100" w:afterAutospacing="1" w:line="360" w:lineRule="auto"/>
              <w:jc w:val="both"/>
              <w:rPr>
                <w:rFonts w:ascii="Arial" w:eastAsia="Calibri" w:hAnsi="Arial" w:cs="Arial"/>
                <w:sz w:val="24"/>
                <w:szCs w:val="24"/>
              </w:rPr>
            </w:pPr>
          </w:p>
          <w:p w:rsidR="00804EFB" w:rsidRPr="00804EFB" w:rsidRDefault="00804EFB" w:rsidP="00804EFB">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is the importance of body language in the interviewing procedure?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bCs/>
                <w:sz w:val="24"/>
                <w:szCs w:val="24"/>
              </w:rPr>
              <w:t>Body language</w:t>
            </w:r>
            <w:r w:rsidRPr="00C86576">
              <w:rPr>
                <w:rFonts w:ascii="Arial" w:hAnsi="Arial" w:cs="Arial"/>
                <w:sz w:val="24"/>
                <w:szCs w:val="24"/>
              </w:rPr>
              <w:t xml:space="preserve"> refers to various forms of nonverbal communication, wherein a person may reveal clues as to some unspoken intention or feeling through their physical behavior. These behaviors can include body posture, gestures, facial expressions and eye movements.</w:t>
            </w:r>
            <w:r w:rsidRPr="00C86576">
              <w:rPr>
                <w:rFonts w:ascii="Arial" w:hAnsi="Arial" w:cs="Arial"/>
                <w:b/>
                <w:sz w:val="24"/>
                <w:szCs w:val="24"/>
              </w:rPr>
              <w:t xml:space="preserve">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Body language may provide clues as to the attitude or state of mind of a person. For example, it may indicate aggression, attentiveness, boredom, a relaxed state, pleasure etc. Body language is significant to communication and relationships. It is relevant to management and leadership in business and also in places where it can be observed by many people.</w:t>
            </w:r>
          </w:p>
          <w:p w:rsidR="001A269E" w:rsidRDefault="001A269E" w:rsidP="00B513A9">
            <w:pPr>
              <w:pStyle w:val="NormalWeb"/>
              <w:spacing w:line="360" w:lineRule="auto"/>
              <w:ind w:left="1080"/>
              <w:jc w:val="both"/>
              <w:rPr>
                <w:rFonts w:ascii="Arial" w:hAnsi="Arial" w:cs="Arial"/>
              </w:rPr>
            </w:pPr>
            <w:r>
              <w:rPr>
                <w:rFonts w:ascii="Arial" w:hAnsi="Arial" w:cs="Arial"/>
              </w:rPr>
              <w:t xml:space="preserve">A person’s body movements usually indicate emotions he is experiencing through adapter or symptoms. Generally, the person is not aware that she is exhibiting body language at the time. </w:t>
            </w:r>
            <w:r w:rsidR="005E6EAB">
              <w:rPr>
                <w:rFonts w:ascii="Arial" w:hAnsi="Arial" w:cs="Arial"/>
              </w:rPr>
              <w:t>The body behaviour could be certain movements, pitch of the voice, speed of talking, crossing legs or arms, or other body movements.</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Body language is one of the very powerful ways of communicating. When it comes to your career, especially while attending interviews, every small movement you make will amplify and suggest what’s going on in your mind. Body language is still important because it can give away unconscious clues to how you are feeling which might contradict what you are saying.</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 xml:space="preserve">In a research carried out by Albert Mehrabian and reported in his book “Silent Messages” (1981) on communication of feelings and attitudes between people, the spoken words themselves accounted for just 7% of the impact. Vocal characteristics (loudness, tempo, inflection) accounted for 38% and body language (posture, eye contact, facial expression etc.) </w:t>
            </w:r>
            <w:r w:rsidRPr="00C86576">
              <w:rPr>
                <w:rFonts w:ascii="Arial" w:hAnsi="Arial" w:cs="Arial"/>
              </w:rPr>
              <w:lastRenderedPageBreak/>
              <w:t>accounted for 55%.</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Body language plays an important part in how we communicate our feelings to others, and is a vital ingredient of creating the right first impression. People form an opinion of you regardless of whether you actively try to create an impression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sz w:val="24"/>
                <w:szCs w:val="24"/>
              </w:rPr>
              <w:t>Body language is so important because it can often contradict what we say in words. For example you might be demonstrating a time when you displayed confidence but telling the story while looking down at your hands and avoiding eye contact.</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How is the SCAN Analysis used as an investigative technique?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Scientific content analysis (SCAN) is a technique that is similar to statement analysis. Like statement analysis, SCAN does not try to look for the truthfulness of the facts but rather the reflection of deception in the way statements are made.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depends heavily upon analyzing the statement, not upon observing "kinesics" or "body language". The basic premise is that the structure and contents of a subject's statement reveal whether there's an attempt at deception.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is cross-cultural, in the sense that an interrogator can conduct an analysis in any language he understands.</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 xml:space="preserve">According to </w:t>
            </w:r>
            <w:r w:rsidRPr="00C86576">
              <w:rPr>
                <w:rFonts w:ascii="Arial" w:hAnsi="Arial" w:cs="Arial"/>
                <w:sz w:val="24"/>
                <w:szCs w:val="24"/>
              </w:rPr>
              <w:t xml:space="preserve">Avinoam </w:t>
            </w:r>
            <w:r w:rsidRPr="00C86576">
              <w:rPr>
                <w:rFonts w:ascii="Arial" w:hAnsi="Arial" w:cs="Arial"/>
                <w:color w:val="000000"/>
                <w:sz w:val="24"/>
                <w:szCs w:val="24"/>
              </w:rPr>
              <w:t>Sapir,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 xml:space="preserve">SCAN studies speech patterns, seeking tell-tale signs of deception by analyzing both structure and contents of statements. To do so, it is first </w:t>
            </w:r>
            <w:r w:rsidRPr="00C86576">
              <w:rPr>
                <w:rFonts w:ascii="Arial" w:hAnsi="Arial" w:cs="Arial"/>
                <w:color w:val="000000"/>
                <w:sz w:val="24"/>
                <w:szCs w:val="24"/>
              </w:rPr>
              <w:lastRenderedPageBreak/>
              <w:t>necessary to obtain a suitable "pure" statement from the subject.</w:t>
            </w:r>
          </w:p>
          <w:p w:rsidR="00D271DA" w:rsidRDefault="00D271DA"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p>
          <w:p w:rsidR="00D271DA" w:rsidRPr="00C86576" w:rsidRDefault="00D271DA"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What are visual </w:t>
            </w:r>
            <w:r w:rsidR="005E6EAB" w:rsidRPr="00C86576">
              <w:rPr>
                <w:rFonts w:ascii="Arial" w:hAnsi="Arial" w:cs="Arial"/>
                <w:b/>
                <w:sz w:val="24"/>
                <w:szCs w:val="24"/>
              </w:rPr>
              <w:t>a</w:t>
            </w:r>
            <w:r w:rsidR="005E6EAB">
              <w:rPr>
                <w:rFonts w:ascii="Arial" w:hAnsi="Arial" w:cs="Arial"/>
                <w:b/>
                <w:sz w:val="24"/>
                <w:szCs w:val="24"/>
              </w:rPr>
              <w:t>cc</w:t>
            </w:r>
            <w:r w:rsidR="005E6EAB" w:rsidRPr="00C86576">
              <w:rPr>
                <w:rFonts w:ascii="Arial" w:hAnsi="Arial" w:cs="Arial"/>
                <w:b/>
                <w:sz w:val="24"/>
                <w:szCs w:val="24"/>
              </w:rPr>
              <w:t>essing</w:t>
            </w:r>
            <w:r w:rsidRPr="00C86576">
              <w:rPr>
                <w:rFonts w:ascii="Arial" w:hAnsi="Arial" w:cs="Arial"/>
                <w:b/>
                <w:sz w:val="24"/>
                <w:szCs w:val="24"/>
              </w:rPr>
              <w:t xml:space="preserve"> cues? How do eyes of the victim help the interviewer?</w:t>
            </w:r>
          </w:p>
          <w:p w:rsidR="00B513A9" w:rsidRPr="00C86576" w:rsidRDefault="005E6EAB"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Pr>
                <w:rFonts w:ascii="Arial" w:hAnsi="Arial" w:cs="Arial"/>
                <w:sz w:val="24"/>
                <w:szCs w:val="24"/>
              </w:rPr>
              <w:t>Visual accessing cues (VAC) refers to the language of the eyes and the principles related to it.</w:t>
            </w:r>
            <w:r w:rsidR="009B6884">
              <w:rPr>
                <w:rFonts w:ascii="Arial" w:hAnsi="Arial" w:cs="Arial"/>
                <w:sz w:val="24"/>
                <w:szCs w:val="24"/>
              </w:rPr>
              <w:t xml:space="preserve"> It is said that eye language is a </w:t>
            </w:r>
            <w:r w:rsidR="00B513A9" w:rsidRPr="00C86576">
              <w:rPr>
                <w:rFonts w:ascii="Arial" w:hAnsi="Arial" w:cs="Arial"/>
                <w:sz w:val="24"/>
                <w:szCs w:val="24"/>
              </w:rPr>
              <w:t xml:space="preserve">more reliable indicator of truthfulness. Experts believe the eyes are the most communicative part of the human body. The eyes do have a language and the principles that follow are referred to as visual accessing cues (VAC). Eye movement as indicators of specific cognitive processes is one of the most well-known, if controversial, discoveries of NLP (Neuron Linguistic Programming), and potentially one of the most valuable. According to NLP, automatic, unconscious eye movement, or eye accessing cues, often accompany particular thought processes, and indicate the access and use of particular representational systems.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eye movement cues and interpretations, however, are true only for right-handed persons. The eyes of the victim help the interviewer know what the victim might be thinking, his or her intended actions. It also helps the interviewer know whether what the victim is saying is the truth or not.</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Examples of such instances are:</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left and up. Retrieving visual images from the past.</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right and up. Visually constructing images.</w:t>
            </w:r>
          </w:p>
          <w:p w:rsidR="00B513A9"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Eyes to the right toward the ear. Creating a sound. Etc. </w:t>
            </w:r>
          </w:p>
          <w:p w:rsidR="009B6884" w:rsidRDefault="009B6884" w:rsidP="009B6884">
            <w:pPr>
              <w:autoSpaceDE w:val="0"/>
              <w:autoSpaceDN w:val="0"/>
              <w:adjustRightInd w:val="0"/>
              <w:spacing w:before="100" w:beforeAutospacing="1" w:after="100" w:afterAutospacing="1" w:line="360" w:lineRule="auto"/>
              <w:ind w:left="1080"/>
              <w:jc w:val="both"/>
              <w:rPr>
                <w:rFonts w:ascii="Arial" w:hAnsi="Arial" w:cs="Arial"/>
                <w:sz w:val="24"/>
                <w:szCs w:val="24"/>
              </w:rPr>
            </w:pPr>
            <w:r>
              <w:rPr>
                <w:rFonts w:ascii="Arial" w:hAnsi="Arial" w:cs="Arial"/>
                <w:sz w:val="24"/>
                <w:szCs w:val="24"/>
              </w:rPr>
              <w:t>Eye language is a vast area. Coupled with best practices during interviews, it can lead to reliable interpretations and results.</w:t>
            </w:r>
          </w:p>
          <w:p w:rsidR="009B6884" w:rsidRPr="009B6884" w:rsidRDefault="009B6884" w:rsidP="009B6884">
            <w:pPr>
              <w:autoSpaceDE w:val="0"/>
              <w:autoSpaceDN w:val="0"/>
              <w:adjustRightInd w:val="0"/>
              <w:spacing w:before="100" w:beforeAutospacing="1" w:after="100" w:afterAutospacing="1" w:line="360" w:lineRule="auto"/>
              <w:ind w:left="1080"/>
              <w:jc w:val="both"/>
              <w:rPr>
                <w:rFonts w:ascii="Arial" w:hAnsi="Arial" w:cs="Arial"/>
                <w:sz w:val="24"/>
                <w:szCs w:val="24"/>
              </w:rPr>
            </w:pPr>
          </w:p>
          <w:p w:rsidR="00B513A9"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 addition to body language there are other cues as well which help to identify the lies.’ What are these? </w:t>
            </w:r>
          </w:p>
          <w:p w:rsidR="009B6884" w:rsidRPr="009B6884" w:rsidRDefault="009B6884" w:rsidP="009B688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9B6884">
              <w:rPr>
                <w:rFonts w:ascii="Arial" w:hAnsi="Arial" w:cs="Arial"/>
                <w:sz w:val="24"/>
                <w:szCs w:val="24"/>
              </w:rPr>
              <w:t>Other</w:t>
            </w:r>
            <w:r>
              <w:rPr>
                <w:rFonts w:ascii="Arial" w:hAnsi="Arial" w:cs="Arial"/>
                <w:sz w:val="24"/>
                <w:szCs w:val="24"/>
              </w:rPr>
              <w:t xml:space="preserve"> cues, in addition to body language indicators  that can also be used to identify deception include the following:</w:t>
            </w:r>
            <w:r w:rsidRPr="009B6884">
              <w:rPr>
                <w:rFonts w:ascii="Arial" w:hAnsi="Arial" w:cs="Arial"/>
                <w:sz w:val="24"/>
                <w:szCs w:val="24"/>
              </w:rPr>
              <w:t xml:space="preserve"> </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Interpersonal interaction. </w:t>
            </w:r>
            <w:r w:rsidRPr="00C86576">
              <w:rPr>
                <w:rFonts w:ascii="Arial" w:hAnsi="Arial" w:cs="Arial"/>
                <w:sz w:val="24"/>
                <w:szCs w:val="24"/>
              </w:rPr>
              <w:t>Shakes head ‘yes’ after the point is made, inconsistent gestures.</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Emotional states. </w:t>
            </w:r>
            <w:r w:rsidRPr="00C86576">
              <w:rPr>
                <w:rFonts w:ascii="Arial" w:hAnsi="Arial" w:cs="Arial"/>
                <w:sz w:val="24"/>
                <w:szCs w:val="24"/>
              </w:rPr>
              <w:t>Deceitful people tend to avoid touching the person questioning them.</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Verbal content. </w:t>
            </w:r>
            <w:r w:rsidRPr="00C86576">
              <w:rPr>
                <w:rFonts w:ascii="Arial" w:hAnsi="Arial" w:cs="Arial"/>
                <w:sz w:val="24"/>
                <w:szCs w:val="24"/>
              </w:rPr>
              <w:t>Reflects questions back as the answer immediately after the question. For example, did you write a check to yourself? ‘‘no, I didn’t write a check to myself.’’</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How comments are made. </w:t>
            </w:r>
            <w:r w:rsidRPr="00C86576">
              <w:rPr>
                <w:rFonts w:ascii="Arial" w:hAnsi="Arial" w:cs="Arial"/>
                <w:sz w:val="24"/>
                <w:szCs w:val="24"/>
              </w:rPr>
              <w:t>Disassociating people, events, and so on by replacing the pronoun. For example, ‘‘the equipment’’ versus ‘‘my equipment.’’</w:t>
            </w:r>
          </w:p>
          <w:p w:rsidR="00D271DA" w:rsidRPr="00D271DA"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Psychological frames. </w:t>
            </w:r>
            <w:r w:rsidRPr="00C86576">
              <w:rPr>
                <w:rFonts w:ascii="Arial" w:hAnsi="Arial" w:cs="Arial"/>
                <w:sz w:val="24"/>
                <w:szCs w:val="24"/>
              </w:rPr>
              <w:t>Deceitful statements almost always omit what went wrong in describing events, except concerning delays or cancellations.</w:t>
            </w:r>
          </w:p>
          <w:p w:rsidR="00D271DA" w:rsidRPr="00D271DA" w:rsidRDefault="00D271DA" w:rsidP="00D271DA">
            <w:pPr>
              <w:autoSpaceDE w:val="0"/>
              <w:autoSpaceDN w:val="0"/>
              <w:adjustRightInd w:val="0"/>
              <w:spacing w:before="100" w:beforeAutospacing="1" w:after="100" w:afterAutospacing="1" w:line="360" w:lineRule="auto"/>
              <w:ind w:left="1080"/>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2</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‘Asking questions in an audit is different from asking questions in fraud investigation.’ Discuss</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Auditors ask questions in the course of most audits, whether they are internal or external. To effectively ask questions in a fraud examination or investigation, one must employ best practices for interviewing techniques in that context.</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 xml:space="preserve">Unlike questions asked in auditing, questions usually asked in fraud examination or fraud investigations takes the form of introductory, informational, closing, assessment, and admission-seeking. Experts agree that open ended questions are </w:t>
            </w:r>
            <w:r w:rsidRPr="00C86576">
              <w:rPr>
                <w:rFonts w:ascii="Arial" w:hAnsi="Arial" w:cs="Arial"/>
              </w:rPr>
              <w:lastRenderedPageBreak/>
              <w:t>far superior to questions that can be answered with a simple ‘‘yes’’ or ‘‘no.’’</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With fraud investigation, there is the possibility that the investigator may not be trained or experienced in proper interview techniques (i.e., best practices) or worse yet, unfamiliar with the legal protocol of interviews.</w:t>
            </w:r>
          </w:p>
          <w:p w:rsidR="00D271DA" w:rsidRPr="00C86576"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3</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Discuss the interviewing procedure for a financially sophisticated victim.</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An interview is conversation in which persons are questioned and their responses noted. Responses can be verbal as well as nonverbal. At times, interviewees’ nonverbal responses are just as important as verbal ones. Interviewing is sometimes used to refer to an activity more appropriately called interrogation.</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interviewing procedure includes: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Preparing. </w:t>
            </w:r>
            <w:r w:rsidRPr="00C86576">
              <w:rPr>
                <w:rFonts w:ascii="Arial" w:hAnsi="Arial" w:cs="Arial"/>
                <w:sz w:val="24"/>
                <w:szCs w:val="24"/>
              </w:rPr>
              <w:t>The interviewer should prepare for it by becoming as familiar as possible with the individual being interviewed, the type of fraud that he/she is investigating, the suspect, and the victim.</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Think as you go.  </w:t>
            </w:r>
            <w:r w:rsidRPr="00C86576">
              <w:rPr>
                <w:rFonts w:ascii="Arial" w:hAnsi="Arial" w:cs="Arial"/>
                <w:sz w:val="24"/>
                <w:szCs w:val="24"/>
              </w:rPr>
              <w:t>Although</w:t>
            </w:r>
            <w:r w:rsidRPr="00C86576">
              <w:rPr>
                <w:rFonts w:ascii="Arial" w:hAnsi="Arial" w:cs="Arial"/>
                <w:b/>
                <w:sz w:val="24"/>
                <w:szCs w:val="24"/>
              </w:rPr>
              <w:t xml:space="preserve"> </w:t>
            </w:r>
            <w:r w:rsidRPr="00C86576">
              <w:rPr>
                <w:rFonts w:ascii="Arial" w:hAnsi="Arial" w:cs="Arial"/>
                <w:sz w:val="24"/>
                <w:szCs w:val="24"/>
              </w:rPr>
              <w:t>it seems intuitive that the interviewer should write down questions for the interviewee, actually the best thing to do is not write them down. Instead, the interviewer should have a list of key points and allow the conversation to take its natural course.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Watch nonverbal behaviour.  </w:t>
            </w:r>
            <w:r w:rsidRPr="00C86576">
              <w:rPr>
                <w:rFonts w:ascii="Arial" w:hAnsi="Arial" w:cs="Arial"/>
                <w:sz w:val="24"/>
                <w:szCs w:val="24"/>
              </w:rPr>
              <w:t>Usually, humans have a different body language when under stress. The trained fraud investigator knows how to watch for signs of stress in a process called calibration. This process is used to assess a witness’s fruitfulness.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Set the tone. </w:t>
            </w:r>
            <w:r w:rsidRPr="00C86576">
              <w:rPr>
                <w:rFonts w:ascii="Arial" w:hAnsi="Arial" w:cs="Arial"/>
                <w:sz w:val="24"/>
                <w:szCs w:val="24"/>
              </w:rPr>
              <w:t>This includes dressing properly, using good social skills, introducing himself or herself appropriately, and especially developing a rapport with the interviewee.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Pace your questions. </w:t>
            </w:r>
            <w:r w:rsidRPr="00C86576">
              <w:rPr>
                <w:rFonts w:ascii="Arial" w:hAnsi="Arial" w:cs="Arial"/>
                <w:sz w:val="24"/>
                <w:szCs w:val="24"/>
              </w:rPr>
              <w:t xml:space="preserve">The interviewer should pace the questions to keep the interviewee comfortable with the interview. The hard questions should follow a </w:t>
            </w:r>
            <w:r w:rsidRPr="00C86576">
              <w:rPr>
                <w:rFonts w:ascii="Arial" w:hAnsi="Arial" w:cs="Arial"/>
                <w:sz w:val="24"/>
                <w:szCs w:val="24"/>
              </w:rPr>
              <w:lastRenderedPageBreak/>
              <w:t>few easy questions and ease up to the harder ones.</w:t>
            </w:r>
          </w:p>
          <w:p w:rsidR="00B513A9" w:rsidRPr="00D271DA"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 more listening than talking. </w:t>
            </w:r>
            <w:r w:rsidRPr="00C86576">
              <w:rPr>
                <w:rFonts w:ascii="Arial" w:hAnsi="Arial" w:cs="Arial"/>
                <w:sz w:val="24"/>
                <w:szCs w:val="24"/>
              </w:rPr>
              <w:t>The interviewer should listen more than talk, allowing the interviewee to become stressed, if he or she is being deceptive, and eventually provide the interviewer cues of his or her deception. Besides the more the investigator talks, the more the interviewee learns, which could be a strategic mistake for an interviewer.</w:t>
            </w:r>
          </w:p>
          <w:p w:rsidR="00D271DA" w:rsidRPr="00C86576" w:rsidRDefault="00D271DA" w:rsidP="00D271DA">
            <w:pPr>
              <w:pStyle w:val="ListParagraph"/>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Be straightforward. </w:t>
            </w:r>
            <w:r w:rsidRPr="00C86576">
              <w:rPr>
                <w:rFonts w:ascii="Arial" w:hAnsi="Arial" w:cs="Arial"/>
                <w:sz w:val="24"/>
                <w:szCs w:val="24"/>
              </w:rPr>
              <w:t>The investigator should be straightforward. Approach the process in an open way, and be honest as possible without compromising the process. Trying to be secretive or aggressive can cause the interviewee to become defensive.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Take your time. </w:t>
            </w:r>
            <w:r w:rsidRPr="00C86576">
              <w:rPr>
                <w:rFonts w:ascii="Arial" w:hAnsi="Arial" w:cs="Arial"/>
                <w:sz w:val="24"/>
                <w:szCs w:val="24"/>
              </w:rPr>
              <w:t>Honest people usually do not mind follow-up questions when the interviewer’s instinct say he did not get all of the facts. Guilty people, however, typically get impatient.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Double-check the facts. </w:t>
            </w:r>
            <w:r w:rsidRPr="00C86576">
              <w:rPr>
                <w:rFonts w:ascii="Arial" w:hAnsi="Arial" w:cs="Arial"/>
                <w:sz w:val="24"/>
                <w:szCs w:val="24"/>
              </w:rPr>
              <w:t>The interviewer needs to double-check the supposed facts gathered, and start the process during the interview. Nothing damages an investigation more than having testimony contradicted by the very person who gave it.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Get it in writing. </w:t>
            </w:r>
            <w:r w:rsidRPr="00C86576">
              <w:rPr>
                <w:rFonts w:ascii="Arial" w:hAnsi="Arial" w:cs="Arial"/>
                <w:sz w:val="24"/>
                <w:szCs w:val="24"/>
              </w:rPr>
              <w:t>Tape recording is an option, but the downside to that tactics is the probability of losing rapport with the interviewee.</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primary purpose of the interview process in a fraud investigation is to interview the suspect, last in the investigation process, and obtain a signed confession in that interview known as an admission-seeking interview.</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References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Singleton, T., et al (2010) Fraud Auditing and Forensic Accounting, fourth edition.</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Pedneault, S., et al (2012) Forensic Accounting and Fraud Investigation for Non-Experts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Hopwood, S. William., Leiner, Jay J., Young, George R., (2012) Forensic </w:t>
            </w:r>
            <w:r w:rsidRPr="00C86576">
              <w:rPr>
                <w:rFonts w:ascii="Arial" w:hAnsi="Arial" w:cs="Arial"/>
                <w:sz w:val="24"/>
                <w:szCs w:val="24"/>
              </w:rPr>
              <w:lastRenderedPageBreak/>
              <w:t>Accounting and Fraud Examination, 2</w:t>
            </w:r>
            <w:r w:rsidRPr="00C86576">
              <w:rPr>
                <w:rFonts w:ascii="Arial" w:hAnsi="Arial" w:cs="Arial"/>
                <w:sz w:val="24"/>
                <w:szCs w:val="24"/>
                <w:vertAlign w:val="superscript"/>
              </w:rPr>
              <w:t>nd</w:t>
            </w:r>
            <w:r w:rsidRPr="00C86576">
              <w:rPr>
                <w:rFonts w:ascii="Arial" w:hAnsi="Arial" w:cs="Arial"/>
                <w:sz w:val="24"/>
                <w:szCs w:val="24"/>
              </w:rPr>
              <w:t xml:space="preserve"> edition </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Study Material (</w:t>
            </w:r>
            <w:r w:rsidRPr="00C86576">
              <w:rPr>
                <w:rFonts w:ascii="Arial" w:hAnsi="Arial" w:cs="Arial"/>
                <w:b/>
                <w:sz w:val="24"/>
                <w:szCs w:val="24"/>
              </w:rPr>
              <w:t>UNIT 7</w:t>
            </w:r>
            <w:r w:rsidRPr="00C86576">
              <w:rPr>
                <w:rFonts w:ascii="Arial" w:hAnsi="Arial" w:cs="Arial"/>
                <w:sz w:val="24"/>
                <w:szCs w:val="24"/>
              </w:rPr>
              <w:t xml:space="preserve">) </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C86576" w:rsidRDefault="00CC2FB3" w:rsidP="00A851DA">
            <w:pPr>
              <w:rPr>
                <w:rFonts w:ascii="Arial" w:hAnsi="Arial" w:cs="Arial"/>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tc>
      </w:tr>
    </w:tbl>
    <w:p w:rsidR="00503D7E" w:rsidRPr="00C86576"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C86576" w:rsidRDefault="00AE1481" w:rsidP="00A851DA">
      <w:pPr>
        <w:autoSpaceDE w:val="0"/>
        <w:autoSpaceDN w:val="0"/>
        <w:adjustRightInd w:val="0"/>
        <w:spacing w:after="0" w:line="240" w:lineRule="auto"/>
        <w:rPr>
          <w:rFonts w:ascii="Arial" w:hAnsi="Arial" w:cs="Arial"/>
          <w:b/>
          <w:bCs/>
          <w:color w:val="002060"/>
          <w:sz w:val="24"/>
          <w:szCs w:val="24"/>
        </w:rPr>
      </w:pPr>
      <w:r w:rsidRPr="00C86576">
        <w:rPr>
          <w:rFonts w:ascii="Arial" w:hAnsi="Arial" w:cs="Arial"/>
          <w:b/>
          <w:bCs/>
          <w:color w:val="002060"/>
          <w:sz w:val="24"/>
          <w:szCs w:val="24"/>
        </w:rPr>
        <w:t>Student</w:t>
      </w:r>
      <w:r w:rsidR="00A851DA" w:rsidRPr="00C86576">
        <w:rPr>
          <w:rFonts w:ascii="Arial" w:hAnsi="Arial" w:cs="Arial"/>
          <w:b/>
          <w:bCs/>
          <w:color w:val="002060"/>
          <w:sz w:val="24"/>
          <w:szCs w:val="24"/>
        </w:rPr>
        <w:t xml:space="preserve"> Statement:</w:t>
      </w:r>
    </w:p>
    <w:p w:rsidR="00A851DA" w:rsidRPr="00C86576"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C86576" w:rsidRDefault="00405895" w:rsidP="00A851DA">
      <w:pPr>
        <w:autoSpaceDE w:val="0"/>
        <w:autoSpaceDN w:val="0"/>
        <w:adjustRightInd w:val="0"/>
        <w:spacing w:after="0" w:line="240" w:lineRule="auto"/>
        <w:rPr>
          <w:rFonts w:ascii="Arial" w:hAnsi="Arial" w:cs="Arial"/>
          <w:color w:val="000000"/>
          <w:sz w:val="24"/>
          <w:szCs w:val="24"/>
        </w:rPr>
      </w:pPr>
      <w:r w:rsidRPr="00C86576">
        <w:rPr>
          <w:rFonts w:ascii="Arial" w:hAnsi="Arial" w:cs="Arial"/>
          <w:color w:val="000000"/>
          <w:sz w:val="24"/>
          <w:szCs w:val="24"/>
        </w:rPr>
        <w:t>By submitting this assignment, I confirm that this is my own work.</w:t>
      </w:r>
    </w:p>
    <w:p w:rsidR="00503D7E" w:rsidRPr="00C86576" w:rsidRDefault="00503D7E" w:rsidP="00A851DA">
      <w:pPr>
        <w:autoSpaceDE w:val="0"/>
        <w:autoSpaceDN w:val="0"/>
        <w:adjustRightInd w:val="0"/>
        <w:spacing w:after="0" w:line="240" w:lineRule="auto"/>
        <w:rPr>
          <w:rFonts w:ascii="Arial" w:hAnsi="Arial" w:cs="Arial"/>
          <w:color w:val="000000"/>
          <w:sz w:val="24"/>
          <w:szCs w:val="24"/>
        </w:rPr>
      </w:pPr>
    </w:p>
    <w:p w:rsidR="00503D7E" w:rsidRPr="00C86576" w:rsidRDefault="00503D7E" w:rsidP="00A851DA">
      <w:pPr>
        <w:autoSpaceDE w:val="0"/>
        <w:autoSpaceDN w:val="0"/>
        <w:adjustRightInd w:val="0"/>
        <w:spacing w:after="0" w:line="240" w:lineRule="auto"/>
        <w:rPr>
          <w:rFonts w:ascii="Arial" w:hAnsi="Arial" w:cs="Arial"/>
          <w:color w:val="000000"/>
          <w:sz w:val="24"/>
          <w:szCs w:val="24"/>
        </w:rPr>
      </w:pPr>
    </w:p>
    <w:p w:rsidR="00A851DA" w:rsidRPr="00C86576"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C86576" w:rsidTr="00405895">
        <w:tc>
          <w:tcPr>
            <w:tcW w:w="2310"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Student Signature</w:t>
            </w:r>
          </w:p>
        </w:tc>
        <w:tc>
          <w:tcPr>
            <w:tcW w:w="4035" w:type="dxa"/>
          </w:tcPr>
          <w:p w:rsidR="00405895" w:rsidRPr="00C86576" w:rsidRDefault="001A269E" w:rsidP="00A851DA">
            <w:pPr>
              <w:rPr>
                <w:rFonts w:ascii="Arial" w:hAnsi="Arial" w:cs="Arial"/>
                <w:color w:val="000000"/>
                <w:sz w:val="24"/>
                <w:szCs w:val="24"/>
              </w:rPr>
            </w:pPr>
            <w:r>
              <w:rPr>
                <w:rFonts w:ascii="Arial" w:hAnsi="Arial" w:cs="Arial"/>
                <w:color w:val="000000"/>
                <w:sz w:val="24"/>
                <w:szCs w:val="24"/>
              </w:rPr>
              <w:t>Isaac Marfo Oduro</w:t>
            </w:r>
          </w:p>
        </w:tc>
        <w:tc>
          <w:tcPr>
            <w:tcW w:w="1276"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Date</w:t>
            </w:r>
          </w:p>
        </w:tc>
        <w:tc>
          <w:tcPr>
            <w:tcW w:w="1621" w:type="dxa"/>
          </w:tcPr>
          <w:p w:rsidR="00405895" w:rsidRPr="00C86576" w:rsidRDefault="001A269E" w:rsidP="00A851DA">
            <w:pPr>
              <w:rPr>
                <w:rFonts w:ascii="Arial" w:hAnsi="Arial" w:cs="Arial"/>
                <w:color w:val="000000"/>
                <w:sz w:val="24"/>
                <w:szCs w:val="24"/>
              </w:rPr>
            </w:pPr>
            <w:r>
              <w:rPr>
                <w:rFonts w:ascii="Arial" w:hAnsi="Arial" w:cs="Arial"/>
                <w:color w:val="000000"/>
                <w:sz w:val="24"/>
                <w:szCs w:val="24"/>
              </w:rPr>
              <w:t>26-08-2015</w:t>
            </w:r>
          </w:p>
        </w:tc>
      </w:tr>
    </w:tbl>
    <w:p w:rsidR="00A851DA" w:rsidRPr="00C86576" w:rsidRDefault="00A851DA" w:rsidP="00A851DA">
      <w:pPr>
        <w:rPr>
          <w:rFonts w:ascii="Arial" w:hAnsi="Arial" w:cs="Arial"/>
          <w:color w:val="000000"/>
          <w:sz w:val="24"/>
          <w:szCs w:val="24"/>
        </w:rPr>
      </w:pPr>
    </w:p>
    <w:p w:rsidR="00A851DA" w:rsidRPr="00C86576" w:rsidRDefault="00503D7E" w:rsidP="00503D7E">
      <w:pPr>
        <w:shd w:val="clear" w:color="auto" w:fill="D9D9D9" w:themeFill="background1" w:themeFillShade="D9"/>
        <w:rPr>
          <w:rFonts w:ascii="Arial" w:hAnsi="Arial" w:cs="Arial"/>
          <w:b/>
          <w:sz w:val="24"/>
          <w:szCs w:val="24"/>
        </w:rPr>
      </w:pPr>
      <w:r w:rsidRPr="00C86576">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C86576" w:rsidTr="00B0415E">
        <w:trPr>
          <w:trHeight w:val="249"/>
        </w:trPr>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Total Marks</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Marks Obtained</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B0415E" w:rsidP="00503D7E">
            <w:pPr>
              <w:rPr>
                <w:rFonts w:ascii="Arial" w:hAnsi="Arial" w:cs="Arial"/>
                <w:b/>
                <w:color w:val="002060"/>
                <w:sz w:val="24"/>
                <w:szCs w:val="24"/>
              </w:rPr>
            </w:pPr>
            <w:r w:rsidRPr="00C86576">
              <w:rPr>
                <w:rFonts w:ascii="Arial" w:hAnsi="Arial" w:cs="Arial"/>
                <w:b/>
                <w:color w:val="002060"/>
                <w:sz w:val="24"/>
                <w:szCs w:val="24"/>
              </w:rPr>
              <w:t>Percentage / Grade</w:t>
            </w:r>
          </w:p>
        </w:tc>
        <w:tc>
          <w:tcPr>
            <w:tcW w:w="4621" w:type="dxa"/>
          </w:tcPr>
          <w:p w:rsidR="00503D7E" w:rsidRPr="00C86576" w:rsidRDefault="00503D7E" w:rsidP="00503D7E">
            <w:pPr>
              <w:rPr>
                <w:rFonts w:ascii="Arial" w:hAnsi="Arial" w:cs="Arial"/>
                <w:sz w:val="24"/>
                <w:szCs w:val="24"/>
              </w:rPr>
            </w:pPr>
          </w:p>
        </w:tc>
      </w:tr>
    </w:tbl>
    <w:p w:rsidR="00A851DA" w:rsidRPr="00C86576" w:rsidRDefault="00A851DA" w:rsidP="00503D7E">
      <w:pPr>
        <w:rPr>
          <w:rFonts w:ascii="Arial" w:hAnsi="Arial" w:cs="Arial"/>
          <w:sz w:val="24"/>
          <w:szCs w:val="24"/>
        </w:rPr>
      </w:pPr>
    </w:p>
    <w:sectPr w:rsidR="00A851DA" w:rsidRPr="00C8657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264" w:rsidRDefault="00A80264" w:rsidP="00CB4D0A">
      <w:pPr>
        <w:spacing w:after="0" w:line="240" w:lineRule="auto"/>
      </w:pPr>
      <w:r>
        <w:separator/>
      </w:r>
    </w:p>
  </w:endnote>
  <w:endnote w:type="continuationSeparator" w:id="0">
    <w:p w:rsidR="00A80264" w:rsidRDefault="00A802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264" w:rsidRDefault="00A80264" w:rsidP="00CB4D0A">
      <w:pPr>
        <w:spacing w:after="0" w:line="240" w:lineRule="auto"/>
      </w:pPr>
      <w:r>
        <w:separator/>
      </w:r>
    </w:p>
  </w:footnote>
  <w:footnote w:type="continuationSeparator" w:id="0">
    <w:p w:rsidR="00A80264" w:rsidRDefault="00A802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F0D25"/>
    <w:multiLevelType w:val="hybridMultilevel"/>
    <w:tmpl w:val="BDDAF7C0"/>
    <w:lvl w:ilvl="0" w:tplc="3D2068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BB6E4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70F7"/>
    <w:rsid w:val="00182416"/>
    <w:rsid w:val="00187EB4"/>
    <w:rsid w:val="001A269E"/>
    <w:rsid w:val="001F0481"/>
    <w:rsid w:val="0020451E"/>
    <w:rsid w:val="00206B9D"/>
    <w:rsid w:val="0023259C"/>
    <w:rsid w:val="002B0BD7"/>
    <w:rsid w:val="002B573D"/>
    <w:rsid w:val="002C5CB2"/>
    <w:rsid w:val="002F779F"/>
    <w:rsid w:val="00305C1E"/>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E6EAB"/>
    <w:rsid w:val="006034F6"/>
    <w:rsid w:val="00606665"/>
    <w:rsid w:val="00607874"/>
    <w:rsid w:val="00607E77"/>
    <w:rsid w:val="00617BB3"/>
    <w:rsid w:val="00636EDD"/>
    <w:rsid w:val="00645CDD"/>
    <w:rsid w:val="006823A7"/>
    <w:rsid w:val="0070347F"/>
    <w:rsid w:val="0070678E"/>
    <w:rsid w:val="00804EFB"/>
    <w:rsid w:val="00831C11"/>
    <w:rsid w:val="00882D7A"/>
    <w:rsid w:val="008A60B4"/>
    <w:rsid w:val="008B3C31"/>
    <w:rsid w:val="008B64FE"/>
    <w:rsid w:val="008C564C"/>
    <w:rsid w:val="00935BF7"/>
    <w:rsid w:val="00945999"/>
    <w:rsid w:val="0095442C"/>
    <w:rsid w:val="00983942"/>
    <w:rsid w:val="009B6884"/>
    <w:rsid w:val="009C37E0"/>
    <w:rsid w:val="00A14B66"/>
    <w:rsid w:val="00A44B1F"/>
    <w:rsid w:val="00A65CF7"/>
    <w:rsid w:val="00A80264"/>
    <w:rsid w:val="00A851DA"/>
    <w:rsid w:val="00AA0DD3"/>
    <w:rsid w:val="00AC7D5B"/>
    <w:rsid w:val="00AE1481"/>
    <w:rsid w:val="00B0415E"/>
    <w:rsid w:val="00B04678"/>
    <w:rsid w:val="00B513A9"/>
    <w:rsid w:val="00BC46DF"/>
    <w:rsid w:val="00C03577"/>
    <w:rsid w:val="00C205E1"/>
    <w:rsid w:val="00C40358"/>
    <w:rsid w:val="00C65FEA"/>
    <w:rsid w:val="00C86576"/>
    <w:rsid w:val="00CA0AC2"/>
    <w:rsid w:val="00CB4D0A"/>
    <w:rsid w:val="00CC2FB3"/>
    <w:rsid w:val="00CC575A"/>
    <w:rsid w:val="00CE773F"/>
    <w:rsid w:val="00D039AC"/>
    <w:rsid w:val="00D271D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2743"/>
    <w:rsid w:val="00FA69E4"/>
    <w:rsid w:val="00FC1F8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513A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513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856FB-6277-4C68-AA38-E707F0023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2</cp:revision>
  <dcterms:created xsi:type="dcterms:W3CDTF">2015-08-26T23:15:00Z</dcterms:created>
  <dcterms:modified xsi:type="dcterms:W3CDTF">2015-08-26T23:15:00Z</dcterms:modified>
</cp:coreProperties>
</file>