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264D"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03FA">
            <w:pPr>
              <w:pStyle w:val="Default"/>
              <w:rPr>
                <w:rFonts w:asciiTheme="minorHAnsi" w:hAnsiTheme="minorHAnsi"/>
              </w:rPr>
            </w:pPr>
            <w:r>
              <w:rPr>
                <w:rFonts w:asciiTheme="minorHAnsi" w:hAnsiTheme="minorHAnsi"/>
              </w:rPr>
              <w:t>Ahsan Ul Haq Rana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03FA">
            <w:pPr>
              <w:pStyle w:val="Default"/>
              <w:rPr>
                <w:rFonts w:asciiTheme="minorHAnsi" w:hAnsiTheme="minorHAnsi"/>
              </w:rPr>
            </w:pPr>
            <w:r>
              <w:rPr>
                <w:rFonts w:asciiTheme="minorHAnsi" w:hAnsiTheme="minorHAnsi"/>
              </w:rPr>
              <w:t>1352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03FA">
            <w:pPr>
              <w:pStyle w:val="Default"/>
              <w:rPr>
                <w:rFonts w:asciiTheme="minorHAnsi" w:hAnsiTheme="minorHAnsi"/>
              </w:rPr>
            </w:pPr>
            <w:r>
              <w:rPr>
                <w:rFonts w:asciiTheme="minorHAnsi" w:hAnsiTheme="minorHAnsi"/>
              </w:rPr>
              <w:t>The Philosophy of Islamic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03FA">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8C03FA" w:rsidP="00A851DA">
            <w:pPr>
              <w:rPr>
                <w:rFonts w:ascii="Arial" w:hAnsi="Arial" w:cs="Arial"/>
                <w:sz w:val="24"/>
                <w:szCs w:val="24"/>
              </w:rPr>
            </w:pPr>
            <w:r>
              <w:rPr>
                <w:rFonts w:ascii="Arial" w:hAnsi="Arial" w:cs="Arial"/>
                <w:sz w:val="24"/>
                <w:szCs w:val="24"/>
              </w:rPr>
              <w:t>Please find below.</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03FA" w:rsidP="00A851DA">
            <w:pPr>
              <w:rPr>
                <w:rFonts w:cs="Bliss-Regular"/>
                <w:color w:val="000000"/>
              </w:rPr>
            </w:pPr>
            <w:r>
              <w:rPr>
                <w:rFonts w:cs="Bliss-Regular"/>
                <w:color w:val="000000"/>
              </w:rPr>
              <w:t>Ahsan ul Haq Rana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03FA" w:rsidP="00A851DA">
            <w:pPr>
              <w:rPr>
                <w:rFonts w:cs="Bliss-Regular"/>
                <w:color w:val="000000"/>
              </w:rPr>
            </w:pPr>
            <w:r>
              <w:rPr>
                <w:rFonts w:cs="Bliss-Regular"/>
                <w:color w:val="000000"/>
              </w:rPr>
              <w:t>02/01/2015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8C03FA" w:rsidRPr="008C03FA" w:rsidRDefault="008C03FA" w:rsidP="008C03FA">
      <w:pPr>
        <w:jc w:val="center"/>
        <w:rPr>
          <w:b/>
          <w:sz w:val="24"/>
          <w:szCs w:val="24"/>
        </w:rPr>
      </w:pPr>
      <w:r w:rsidRPr="008C03FA">
        <w:rPr>
          <w:b/>
          <w:sz w:val="24"/>
          <w:szCs w:val="24"/>
        </w:rPr>
        <w:lastRenderedPageBreak/>
        <w:t>The Philosophy of Islamic Finance</w:t>
      </w:r>
    </w:p>
    <w:p w:rsidR="008C03FA" w:rsidRPr="008C03FA" w:rsidRDefault="008C03FA" w:rsidP="008C03FA">
      <w:pPr>
        <w:jc w:val="center"/>
        <w:rPr>
          <w:b/>
          <w:sz w:val="24"/>
          <w:szCs w:val="24"/>
        </w:rPr>
      </w:pPr>
      <w:bookmarkStart w:id="0" w:name="_GoBack"/>
      <w:bookmarkEnd w:id="0"/>
    </w:p>
    <w:p w:rsidR="008C03FA" w:rsidRPr="008C03FA" w:rsidRDefault="008C03FA" w:rsidP="008C03FA">
      <w:pPr>
        <w:jc w:val="center"/>
        <w:rPr>
          <w:b/>
          <w:sz w:val="24"/>
          <w:szCs w:val="24"/>
        </w:rPr>
      </w:pPr>
      <w:r w:rsidRPr="008C03FA">
        <w:rPr>
          <w:b/>
          <w:sz w:val="24"/>
          <w:szCs w:val="24"/>
        </w:rPr>
        <w:t>Assessment 3</w:t>
      </w:r>
    </w:p>
    <w:p w:rsidR="008C03FA" w:rsidRDefault="008C03FA" w:rsidP="008C03FA">
      <w:pPr>
        <w:jc w:val="center"/>
      </w:pPr>
    </w:p>
    <w:p w:rsidR="008C03FA" w:rsidRPr="008C03FA" w:rsidRDefault="008C03FA" w:rsidP="008C03FA">
      <w:pPr>
        <w:pStyle w:val="ListParagraph"/>
        <w:numPr>
          <w:ilvl w:val="0"/>
          <w:numId w:val="2"/>
        </w:numPr>
        <w:spacing w:after="160" w:line="259" w:lineRule="auto"/>
        <w:rPr>
          <w:b/>
        </w:rPr>
      </w:pPr>
      <w:r w:rsidRPr="008C03FA">
        <w:rPr>
          <w:b/>
        </w:rPr>
        <w:t>Answer the short questions:</w:t>
      </w:r>
    </w:p>
    <w:p w:rsidR="008C03FA" w:rsidRDefault="008C03FA" w:rsidP="008C03FA">
      <w:pPr>
        <w:pStyle w:val="ListParagraph"/>
      </w:pPr>
    </w:p>
    <w:p w:rsidR="008C03FA" w:rsidRPr="008C03FA" w:rsidRDefault="008C03FA" w:rsidP="008C03FA">
      <w:pPr>
        <w:pStyle w:val="ListParagraph"/>
        <w:numPr>
          <w:ilvl w:val="0"/>
          <w:numId w:val="3"/>
        </w:numPr>
        <w:spacing w:after="160" w:line="259" w:lineRule="auto"/>
        <w:rPr>
          <w:b/>
        </w:rPr>
      </w:pPr>
      <w:r w:rsidRPr="008C03FA">
        <w:rPr>
          <w:b/>
        </w:rPr>
        <w:t>Is the term “interest free banking” accurate for Islamic Banking or there is a difference between the two?</w:t>
      </w:r>
    </w:p>
    <w:p w:rsidR="008C03FA" w:rsidRDefault="008C03FA" w:rsidP="008C03FA">
      <w:pPr>
        <w:pStyle w:val="ListParagraph"/>
        <w:ind w:left="1440"/>
      </w:pPr>
    </w:p>
    <w:p w:rsidR="008C03FA" w:rsidRDefault="008C03FA" w:rsidP="008C03FA">
      <w:pPr>
        <w:pStyle w:val="ListParagraph"/>
        <w:ind w:left="1440"/>
      </w:pPr>
      <w:r>
        <w:t xml:space="preserve">“Interest Free Banking” is one of the characteristics of Islamic Banking but it do not define it fully. There are few other important factors involved in Islamic Banking such as </w:t>
      </w:r>
      <w:r>
        <w:t>“</w:t>
      </w:r>
      <w:r>
        <w:t>gharar</w:t>
      </w:r>
      <w:r>
        <w:t>”</w:t>
      </w:r>
      <w:r>
        <w:t xml:space="preserve"> (hazardous sale where details concerning the sale item are unknown) and other un-ethical practices.</w:t>
      </w:r>
    </w:p>
    <w:p w:rsidR="008C03FA" w:rsidRDefault="008C03FA" w:rsidP="008C03FA"/>
    <w:p w:rsidR="008C03FA" w:rsidRPr="008C03FA" w:rsidRDefault="008C03FA" w:rsidP="008C03FA">
      <w:pPr>
        <w:pStyle w:val="ListParagraph"/>
        <w:numPr>
          <w:ilvl w:val="0"/>
          <w:numId w:val="3"/>
        </w:numPr>
        <w:spacing w:after="160" w:line="259" w:lineRule="auto"/>
        <w:rPr>
          <w:b/>
        </w:rPr>
      </w:pPr>
      <w:r w:rsidRPr="008C03FA">
        <w:rPr>
          <w:b/>
        </w:rPr>
        <w:t>Can Islamic Bank ask the client for security when giving loan? If so for which type of financing modes?</w:t>
      </w:r>
    </w:p>
    <w:p w:rsidR="008C03FA" w:rsidRDefault="008C03FA" w:rsidP="008C03FA">
      <w:pPr>
        <w:pStyle w:val="ListParagraph"/>
        <w:ind w:left="1440"/>
      </w:pPr>
    </w:p>
    <w:p w:rsidR="008C03FA" w:rsidRDefault="008C03FA" w:rsidP="008C03FA">
      <w:pPr>
        <w:pStyle w:val="ListParagraph"/>
        <w:ind w:left="1440"/>
      </w:pPr>
      <w:r>
        <w:t xml:space="preserve">In all types of financing, bank can ask the client for security in form of collateral. In forward purchases, banks can ask for security to make sure customer deliver the commodity on agreed date. In PLS modes, banks can ask for security against the non-performance of the4 contract. Bank however cannot enforce the collateral in case of loss in the business unless loss has occurred due to misconduct or negligence on the part of the client.  </w:t>
      </w:r>
    </w:p>
    <w:p w:rsidR="008C03FA" w:rsidRDefault="008C03FA" w:rsidP="008C03FA"/>
    <w:p w:rsidR="008C03FA" w:rsidRPr="008C03FA" w:rsidRDefault="008C03FA" w:rsidP="008C03FA">
      <w:pPr>
        <w:pStyle w:val="ListParagraph"/>
        <w:numPr>
          <w:ilvl w:val="0"/>
          <w:numId w:val="3"/>
        </w:numPr>
        <w:spacing w:after="160" w:line="259" w:lineRule="auto"/>
        <w:rPr>
          <w:b/>
        </w:rPr>
      </w:pPr>
      <w:r w:rsidRPr="008C03FA">
        <w:rPr>
          <w:b/>
        </w:rPr>
        <w:t>Does Shari’ah allow pre fixed return on investment? If so how does it work?</w:t>
      </w:r>
    </w:p>
    <w:p w:rsidR="008C03FA" w:rsidRDefault="008C03FA" w:rsidP="008C03FA">
      <w:pPr>
        <w:pStyle w:val="ListParagraph"/>
        <w:ind w:left="1440"/>
      </w:pPr>
    </w:p>
    <w:p w:rsidR="008C03FA" w:rsidRDefault="008C03FA" w:rsidP="008C03FA">
      <w:pPr>
        <w:pStyle w:val="ListParagraph"/>
        <w:ind w:left="1440"/>
      </w:pPr>
      <w:r>
        <w:t xml:space="preserve">Yes, Shari’ah doesn’t always need to be variable. It can be fixed and in same time Shari’ah complaint. Islamic banks can charge fixed profit if they engage in trading and leasing. </w:t>
      </w:r>
    </w:p>
    <w:p w:rsidR="008C03FA" w:rsidRDefault="008C03FA" w:rsidP="008C03FA">
      <w:pPr>
        <w:pStyle w:val="ListParagraph"/>
        <w:ind w:left="1440"/>
      </w:pPr>
    </w:p>
    <w:p w:rsidR="008C03FA" w:rsidRDefault="008C03FA" w:rsidP="008C03FA">
      <w:pPr>
        <w:pStyle w:val="ListParagraph"/>
        <w:ind w:left="1440"/>
      </w:pPr>
      <w:r>
        <w:t>Banks can buy and sell a good by charging a fixed premium. The payment can be spot, delayed or in advance. Banks price the goods and the debt is created, now the goods belong to their clients and banks do not have any right to re-price them. The risk and reward will belong to the buyer who will be required to pay the price irrespective of the manner in which he has used them.</w:t>
      </w:r>
    </w:p>
    <w:p w:rsidR="008C03FA" w:rsidRDefault="008C03FA" w:rsidP="008C03FA">
      <w:pPr>
        <w:pStyle w:val="ListParagraph"/>
        <w:ind w:left="1440"/>
      </w:pPr>
    </w:p>
    <w:p w:rsidR="008C03FA" w:rsidRDefault="008C03FA" w:rsidP="008C03FA">
      <w:pPr>
        <w:pStyle w:val="ListParagraph"/>
        <w:ind w:left="1440"/>
      </w:pPr>
      <w:r>
        <w:t xml:space="preserve">Banks can go into Ijarah (leasing) trading by charging a fixed price or rent to customer. Customer uses the asset against payment of rent. Rental is allowed subject to the condition that the lessor bears the risk and expenses relating to ownership of the leased asset. </w:t>
      </w:r>
    </w:p>
    <w:p w:rsidR="008C03FA" w:rsidRDefault="008C03FA" w:rsidP="008C03FA"/>
    <w:p w:rsidR="008C03FA" w:rsidRDefault="008C03FA" w:rsidP="008C03FA"/>
    <w:p w:rsidR="008C03FA" w:rsidRPr="008C03FA" w:rsidRDefault="008C03FA" w:rsidP="008C03FA">
      <w:pPr>
        <w:pStyle w:val="ListParagraph"/>
        <w:numPr>
          <w:ilvl w:val="0"/>
          <w:numId w:val="3"/>
        </w:numPr>
        <w:spacing w:after="160" w:line="259" w:lineRule="auto"/>
        <w:rPr>
          <w:b/>
        </w:rPr>
      </w:pPr>
      <w:r w:rsidRPr="008C03FA">
        <w:rPr>
          <w:b/>
        </w:rPr>
        <w:t>What are the basics of philosophy of Islamic finance?</w:t>
      </w:r>
    </w:p>
    <w:p w:rsidR="008C03FA" w:rsidRDefault="008C03FA" w:rsidP="008C03FA">
      <w:pPr>
        <w:pStyle w:val="ListParagraph"/>
        <w:ind w:left="1440"/>
      </w:pPr>
    </w:p>
    <w:p w:rsidR="008C03FA" w:rsidRDefault="008C03FA" w:rsidP="008C03FA">
      <w:pPr>
        <w:pStyle w:val="ListParagraph"/>
        <w:ind w:left="1440"/>
      </w:pPr>
      <w:r>
        <w:t>Philosophy of Islamic finance is based on three basic things which are as follows.</w:t>
      </w:r>
    </w:p>
    <w:p w:rsidR="008C03FA" w:rsidRDefault="008C03FA" w:rsidP="008C03FA">
      <w:pPr>
        <w:pStyle w:val="ListParagraph"/>
        <w:ind w:left="1440"/>
      </w:pPr>
    </w:p>
    <w:p w:rsidR="008C03FA" w:rsidRDefault="008C03FA" w:rsidP="008C03FA">
      <w:pPr>
        <w:pStyle w:val="ListParagraph"/>
        <w:numPr>
          <w:ilvl w:val="0"/>
          <w:numId w:val="4"/>
        </w:numPr>
        <w:spacing w:after="160" w:line="259" w:lineRule="auto"/>
      </w:pPr>
      <w:r>
        <w:t>Avoiding Interest</w:t>
      </w:r>
    </w:p>
    <w:p w:rsidR="008C03FA" w:rsidRDefault="008C03FA" w:rsidP="008C03FA">
      <w:pPr>
        <w:pStyle w:val="ListParagraph"/>
        <w:ind w:left="1800"/>
      </w:pPr>
      <w:r>
        <w:t>Islamic banks will not take or give any loan or enter into contracts seeking an increase over the principal of loans and debts created as a result of any credit transaction.</w:t>
      </w:r>
    </w:p>
    <w:p w:rsidR="008C03FA" w:rsidRDefault="008C03FA" w:rsidP="008C03FA">
      <w:pPr>
        <w:pStyle w:val="ListParagraph"/>
        <w:ind w:left="1800"/>
      </w:pPr>
    </w:p>
    <w:p w:rsidR="008C03FA" w:rsidRDefault="008C03FA" w:rsidP="008C03FA">
      <w:pPr>
        <w:pStyle w:val="ListParagraph"/>
        <w:numPr>
          <w:ilvl w:val="0"/>
          <w:numId w:val="4"/>
        </w:numPr>
        <w:spacing w:after="160" w:line="259" w:lineRule="auto"/>
      </w:pPr>
      <w:r>
        <w:t>Avoiding Gharar</w:t>
      </w:r>
    </w:p>
    <w:p w:rsidR="008C03FA" w:rsidRDefault="008C03FA" w:rsidP="008C03FA">
      <w:pPr>
        <w:pStyle w:val="ListParagraph"/>
        <w:ind w:left="1800"/>
      </w:pPr>
      <w:r>
        <w:t>Islamic banks should not engage in any bargain in which the result is hidden, as they would not be certain whether the delivery could or would be made, which is necessary for the completion of any genuine business transaction.</w:t>
      </w:r>
    </w:p>
    <w:p w:rsidR="008C03FA" w:rsidRDefault="008C03FA" w:rsidP="008C03FA">
      <w:pPr>
        <w:pStyle w:val="ListParagraph"/>
        <w:ind w:left="1800"/>
      </w:pPr>
    </w:p>
    <w:p w:rsidR="008C03FA" w:rsidRDefault="008C03FA" w:rsidP="008C03FA">
      <w:pPr>
        <w:pStyle w:val="ListParagraph"/>
        <w:numPr>
          <w:ilvl w:val="0"/>
          <w:numId w:val="4"/>
        </w:numPr>
        <w:spacing w:after="160" w:line="259" w:lineRule="auto"/>
      </w:pPr>
      <w:r>
        <w:t>Avoiding Gambling and Games of Chances</w:t>
      </w:r>
    </w:p>
    <w:p w:rsidR="008C03FA" w:rsidRDefault="008C03FA" w:rsidP="008C03FA">
      <w:pPr>
        <w:pStyle w:val="ListParagraph"/>
        <w:ind w:left="1800"/>
      </w:pPr>
      <w:r>
        <w:t>Islamic banks need to avoid number of financial transactions and conventional bank’s products involving gambling. Governments and public/private sector corporations mobilize resources on the basis of lotteries and draws which come under the banner of gambling so therefore also prohibited.</w:t>
      </w:r>
    </w:p>
    <w:p w:rsidR="008C03FA" w:rsidRDefault="008C03FA" w:rsidP="008C03FA"/>
    <w:p w:rsidR="008C03FA" w:rsidRPr="008C03FA" w:rsidRDefault="008C03FA" w:rsidP="008C03FA">
      <w:pPr>
        <w:pStyle w:val="ListParagraph"/>
        <w:numPr>
          <w:ilvl w:val="0"/>
          <w:numId w:val="3"/>
        </w:numPr>
        <w:spacing w:after="160" w:line="259" w:lineRule="auto"/>
        <w:rPr>
          <w:b/>
        </w:rPr>
      </w:pPr>
      <w:r w:rsidRPr="008C03FA">
        <w:rPr>
          <w:b/>
        </w:rPr>
        <w:t>Which of the following items could be leased out according to Shari’ah</w:t>
      </w:r>
    </w:p>
    <w:p w:rsidR="008C03FA" w:rsidRDefault="008C03FA" w:rsidP="008C03FA">
      <w:pPr>
        <w:pStyle w:val="ListParagraph"/>
        <w:ind w:left="1440"/>
      </w:pPr>
    </w:p>
    <w:p w:rsidR="008C03FA" w:rsidRDefault="008C03FA" w:rsidP="008C03FA">
      <w:pPr>
        <w:pStyle w:val="ListParagraph"/>
        <w:ind w:left="1440"/>
      </w:pPr>
      <w:r>
        <w:t>The items which could be leased out according to Shari’ah are as follows:</w:t>
      </w:r>
    </w:p>
    <w:p w:rsidR="008C03FA" w:rsidRDefault="008C03FA" w:rsidP="008C03FA">
      <w:pPr>
        <w:pStyle w:val="ListParagraph"/>
        <w:ind w:left="1440"/>
      </w:pPr>
    </w:p>
    <w:p w:rsidR="008C03FA" w:rsidRDefault="008C03FA" w:rsidP="008C03FA">
      <w:pPr>
        <w:pStyle w:val="ListParagraph"/>
        <w:numPr>
          <w:ilvl w:val="0"/>
          <w:numId w:val="5"/>
        </w:numPr>
        <w:spacing w:after="160" w:line="259" w:lineRule="auto"/>
      </w:pPr>
      <w:r>
        <w:t>House</w:t>
      </w:r>
    </w:p>
    <w:p w:rsidR="008C03FA" w:rsidRDefault="008C03FA" w:rsidP="008C03FA">
      <w:pPr>
        <w:pStyle w:val="ListParagraph"/>
        <w:numPr>
          <w:ilvl w:val="0"/>
          <w:numId w:val="5"/>
        </w:numPr>
        <w:spacing w:after="160" w:line="259" w:lineRule="auto"/>
      </w:pPr>
      <w:r>
        <w:t>Ship</w:t>
      </w:r>
    </w:p>
    <w:p w:rsidR="008C03FA" w:rsidRDefault="008C03FA" w:rsidP="008C03FA">
      <w:pPr>
        <w:pStyle w:val="ListParagraph"/>
        <w:numPr>
          <w:ilvl w:val="0"/>
          <w:numId w:val="5"/>
        </w:numPr>
        <w:spacing w:after="160" w:line="259" w:lineRule="auto"/>
      </w:pPr>
      <w:r>
        <w:t>Motor Vehicles</w:t>
      </w:r>
    </w:p>
    <w:p w:rsidR="008C03FA" w:rsidRDefault="008C03FA" w:rsidP="008C03FA">
      <w:pPr>
        <w:pStyle w:val="ListParagraph"/>
        <w:numPr>
          <w:ilvl w:val="0"/>
          <w:numId w:val="5"/>
        </w:numPr>
        <w:spacing w:after="160" w:line="259" w:lineRule="auto"/>
      </w:pPr>
      <w:r>
        <w:t>Shop</w:t>
      </w:r>
    </w:p>
    <w:p w:rsidR="008C03FA" w:rsidRDefault="008C03FA" w:rsidP="008C03FA"/>
    <w:p w:rsidR="008C03FA" w:rsidRDefault="008C03FA" w:rsidP="008C03FA">
      <w:pPr>
        <w:ind w:left="1440"/>
      </w:pPr>
      <w:r>
        <w:t>Other items on the list cannot be leased out.</w:t>
      </w:r>
    </w:p>
    <w:p w:rsidR="008C03FA" w:rsidRDefault="008C03FA" w:rsidP="008C03FA"/>
    <w:p w:rsidR="008C03FA" w:rsidRDefault="008C03FA" w:rsidP="008C03FA"/>
    <w:p w:rsidR="008C03FA" w:rsidRDefault="008C03FA" w:rsidP="008C03FA"/>
    <w:p w:rsidR="008C03FA" w:rsidRDefault="008C03FA" w:rsidP="008C03FA"/>
    <w:p w:rsidR="008C03FA" w:rsidRDefault="008C03FA" w:rsidP="008C03FA"/>
    <w:p w:rsidR="008C03FA" w:rsidRDefault="008C03FA" w:rsidP="008C03FA"/>
    <w:p w:rsidR="008C03FA" w:rsidRPr="008C03FA" w:rsidRDefault="008C03FA" w:rsidP="008C03FA">
      <w:pPr>
        <w:pStyle w:val="ListParagraph"/>
        <w:numPr>
          <w:ilvl w:val="0"/>
          <w:numId w:val="2"/>
        </w:numPr>
        <w:spacing w:after="160" w:line="259" w:lineRule="auto"/>
        <w:rPr>
          <w:b/>
        </w:rPr>
      </w:pPr>
      <w:r w:rsidRPr="008C03FA">
        <w:rPr>
          <w:b/>
        </w:rPr>
        <w:lastRenderedPageBreak/>
        <w:t>“Islamic Banks deal in goods not in money”. Discuss</w:t>
      </w:r>
    </w:p>
    <w:p w:rsidR="008C03FA" w:rsidRDefault="008C03FA" w:rsidP="008C03FA">
      <w:pPr>
        <w:pStyle w:val="ListParagraph"/>
      </w:pPr>
    </w:p>
    <w:p w:rsidR="008C03FA" w:rsidRDefault="008C03FA" w:rsidP="008C03FA">
      <w:pPr>
        <w:pStyle w:val="ListParagraph"/>
      </w:pPr>
      <w:r>
        <w:t>One of the main operational difference between conventional and Islamic banks is that Islamic banks deal with goods where as conventional banks deals with money. Conventional banks get money from public which they give it to needy customers and charge them interest. Similarly in case of leasing, conventional banks main concern is with financing the purchase of good and in return charge interest. They undertake no responsibility or risk in respect of the subjects of the contracts and their counter payments or price.</w:t>
      </w:r>
    </w:p>
    <w:p w:rsidR="008C03FA" w:rsidRDefault="008C03FA" w:rsidP="008C03FA">
      <w:pPr>
        <w:pStyle w:val="ListParagraph"/>
      </w:pPr>
    </w:p>
    <w:p w:rsidR="008C03FA" w:rsidRDefault="008C03FA" w:rsidP="008C03FA">
      <w:pPr>
        <w:pStyle w:val="ListParagraph"/>
      </w:pPr>
      <w:r>
        <w:t xml:space="preserve">Islamic banks on other hand deal in goods and documents, not in money. They use money as a medium of exchange for purchasing the goods for purpose of leasing or selling onward thus earning income or profit. They take the responsibility and risk of the asset if they are the lessor. </w:t>
      </w:r>
    </w:p>
    <w:p w:rsidR="008C03FA" w:rsidRDefault="008C03FA" w:rsidP="008C03FA">
      <w:pPr>
        <w:pStyle w:val="ListParagraph"/>
      </w:pPr>
    </w:p>
    <w:p w:rsidR="008C03FA" w:rsidRDefault="008C03FA" w:rsidP="008C03FA">
      <w:pPr>
        <w:pStyle w:val="ListParagraph"/>
      </w:pPr>
    </w:p>
    <w:p w:rsidR="008C03FA" w:rsidRDefault="008C03FA" w:rsidP="008C03FA">
      <w:pPr>
        <w:pStyle w:val="ListParagraph"/>
      </w:pPr>
    </w:p>
    <w:p w:rsidR="008C03FA" w:rsidRDefault="008C03FA" w:rsidP="008C03FA">
      <w:pPr>
        <w:pStyle w:val="ListParagraph"/>
      </w:pPr>
    </w:p>
    <w:p w:rsidR="008C03FA" w:rsidRPr="008C03FA" w:rsidRDefault="008C03FA" w:rsidP="008C03FA">
      <w:pPr>
        <w:pStyle w:val="ListParagraph"/>
        <w:numPr>
          <w:ilvl w:val="0"/>
          <w:numId w:val="2"/>
        </w:numPr>
        <w:spacing w:after="160" w:line="259" w:lineRule="auto"/>
        <w:rPr>
          <w:b/>
        </w:rPr>
      </w:pPr>
      <w:r w:rsidRPr="008C03FA">
        <w:rPr>
          <w:b/>
        </w:rPr>
        <w:t>What is the time value of money in Islam? How is money treated differently in Islamic Banking as compared to conventional banking?</w:t>
      </w:r>
    </w:p>
    <w:p w:rsidR="008C03FA" w:rsidRDefault="008C03FA" w:rsidP="008C03FA">
      <w:pPr>
        <w:pStyle w:val="ListParagraph"/>
      </w:pPr>
    </w:p>
    <w:p w:rsidR="008C03FA" w:rsidRDefault="008C03FA" w:rsidP="008C03FA">
      <w:pPr>
        <w:pStyle w:val="ListParagraph"/>
      </w:pPr>
      <w:r>
        <w:t xml:space="preserve">There is almost a consensus among Shari’ah scholars that credit price of a commodity can genuinely be more than its cash price considering it is genuinely a market practice. Both time and place has an impact on the price. The concept of time value on money in the context of Shari’ah is also established from the fact that Shari’ah prohibits mutual exchanges of gold, silver or monetary values except when it is done simultaneously. It is because a person can take benefit from use of a currency which he has received while he has not given its counter value from which the other party could take benefit. </w:t>
      </w:r>
    </w:p>
    <w:p w:rsidR="008C03FA" w:rsidRDefault="008C03FA" w:rsidP="008C03FA">
      <w:pPr>
        <w:pStyle w:val="ListParagraph"/>
      </w:pPr>
    </w:p>
    <w:p w:rsidR="008C03FA" w:rsidRDefault="008C03FA" w:rsidP="008C03FA">
      <w:pPr>
        <w:pStyle w:val="ListParagraph"/>
      </w:pPr>
      <w:r>
        <w:t>Islamic banking is different to conventional banking as in Islamic banking it is prohibited to add anything to the price once agreed because of delay in its payment. It is due to the commodity once sold generates debt and belongings to the purchaser on a permanent basis and thus seller has no right to re-price a commodity that he has already sold. Another major difference is that time valuation is possible only in business and trade of goods, not in exchange of monetary values and loans or debts.</w:t>
      </w:r>
    </w:p>
    <w:p w:rsidR="008C03FA" w:rsidRDefault="008C03FA" w:rsidP="008C03FA">
      <w:pPr>
        <w:pStyle w:val="ListParagraph"/>
      </w:pPr>
    </w:p>
    <w:p w:rsidR="008C03FA" w:rsidRDefault="008C03FA" w:rsidP="008C03FA">
      <w:pPr>
        <w:pStyle w:val="ListParagraph"/>
      </w:pPr>
      <w:r>
        <w:t xml:space="preserve">In summary, “mark-up” in trade is permissible provided that shari’ah rules are adhered to, but interest is prohibited due to being an increase over any loan or debt. </w:t>
      </w:r>
    </w:p>
    <w:p w:rsidR="008C03FA" w:rsidRDefault="008C03FA" w:rsidP="008C03FA"/>
    <w:p w:rsidR="008C03FA" w:rsidRDefault="008C03FA" w:rsidP="008C03FA"/>
    <w:p w:rsidR="008C03FA" w:rsidRDefault="008C03FA" w:rsidP="008C03FA"/>
    <w:p w:rsidR="008C03FA" w:rsidRDefault="008C03FA" w:rsidP="008C03FA"/>
    <w:p w:rsidR="008C03FA" w:rsidRDefault="008C03FA" w:rsidP="008C03FA"/>
    <w:p w:rsidR="008C03FA" w:rsidRPr="008C03FA" w:rsidRDefault="008C03FA" w:rsidP="008C03FA">
      <w:pPr>
        <w:rPr>
          <w:b/>
        </w:rPr>
      </w:pPr>
      <w:r w:rsidRPr="008C03FA">
        <w:rPr>
          <w:b/>
        </w:rPr>
        <w:lastRenderedPageBreak/>
        <w:t>Case Study:</w:t>
      </w:r>
    </w:p>
    <w:p w:rsidR="008C03FA" w:rsidRPr="008C03FA" w:rsidRDefault="008C03FA" w:rsidP="008C03FA">
      <w:pPr>
        <w:rPr>
          <w:b/>
        </w:rPr>
      </w:pPr>
    </w:p>
    <w:p w:rsidR="008C03FA" w:rsidRPr="008C03FA" w:rsidRDefault="008C03FA" w:rsidP="008C03FA">
      <w:pPr>
        <w:rPr>
          <w:b/>
        </w:rPr>
      </w:pPr>
      <w:r w:rsidRPr="008C03FA">
        <w:rPr>
          <w:b/>
        </w:rPr>
        <w:t>Keeping in view of the case study answer the following questions:</w:t>
      </w:r>
    </w:p>
    <w:p w:rsidR="008C03FA" w:rsidRDefault="008C03FA" w:rsidP="008C03FA"/>
    <w:p w:rsidR="008C03FA" w:rsidRPr="008C03FA" w:rsidRDefault="008C03FA" w:rsidP="008C03FA">
      <w:pPr>
        <w:pStyle w:val="ListParagraph"/>
        <w:numPr>
          <w:ilvl w:val="0"/>
          <w:numId w:val="6"/>
        </w:numPr>
        <w:spacing w:after="160" w:line="259" w:lineRule="auto"/>
        <w:rPr>
          <w:b/>
        </w:rPr>
      </w:pPr>
      <w:r w:rsidRPr="008C03FA">
        <w:rPr>
          <w:b/>
        </w:rPr>
        <w:t>In what sense is car Ijara interest free?</w:t>
      </w:r>
    </w:p>
    <w:p w:rsidR="008C03FA" w:rsidRDefault="008C03FA" w:rsidP="008C03FA">
      <w:pPr>
        <w:pStyle w:val="ListParagraph"/>
      </w:pPr>
    </w:p>
    <w:p w:rsidR="008C03FA" w:rsidRDefault="008C03FA" w:rsidP="008C03FA">
      <w:pPr>
        <w:pStyle w:val="ListParagraph"/>
      </w:pPr>
      <w:r>
        <w:t xml:space="preserve">It is interest free as lessee will only pay a rent for using the asset. Asset will still vbe owned by the lessor. The rent is fixed but it is calculated on the basis of the capacity of the asset to give usufruct which is in principle uncertain. So rent is usually reviewed every six or twelve months. </w:t>
      </w:r>
    </w:p>
    <w:p w:rsidR="008C03FA" w:rsidRDefault="008C03FA" w:rsidP="008C03FA">
      <w:pPr>
        <w:pStyle w:val="ListParagraph"/>
      </w:pPr>
    </w:p>
    <w:p w:rsidR="008C03FA" w:rsidRDefault="008C03FA" w:rsidP="008C03FA">
      <w:pPr>
        <w:pStyle w:val="ListParagraph"/>
      </w:pPr>
      <w:r>
        <w:t>Lessor as the owner of the assets is also the owner of the risk and reward associated with that asset. It also includes obligations to repair any damage caused naturally or due to any wear and tear. The lessee has to compensate any damage to the asset arising out of his negligence.</w:t>
      </w:r>
    </w:p>
    <w:p w:rsidR="008C03FA" w:rsidRDefault="008C03FA" w:rsidP="008C03FA">
      <w:pPr>
        <w:pStyle w:val="ListParagraph"/>
      </w:pPr>
    </w:p>
    <w:p w:rsidR="008C03FA" w:rsidRDefault="008C03FA" w:rsidP="008C03FA">
      <w:pPr>
        <w:pStyle w:val="ListParagraph"/>
      </w:pPr>
    </w:p>
    <w:p w:rsidR="008C03FA" w:rsidRDefault="008C03FA" w:rsidP="008C03FA">
      <w:pPr>
        <w:pStyle w:val="ListParagraph"/>
      </w:pPr>
    </w:p>
    <w:p w:rsidR="008C03FA" w:rsidRDefault="008C03FA" w:rsidP="008C03FA"/>
    <w:p w:rsidR="008C03FA" w:rsidRDefault="008C03FA" w:rsidP="008C03FA">
      <w:pPr>
        <w:pStyle w:val="ListParagraph"/>
      </w:pPr>
    </w:p>
    <w:p w:rsidR="008C03FA" w:rsidRDefault="008C03FA" w:rsidP="008C03FA"/>
    <w:p w:rsidR="008C03FA" w:rsidRPr="008C03FA" w:rsidRDefault="008C03FA" w:rsidP="008C03FA">
      <w:pPr>
        <w:pStyle w:val="ListParagraph"/>
        <w:numPr>
          <w:ilvl w:val="0"/>
          <w:numId w:val="6"/>
        </w:numPr>
        <w:spacing w:after="160" w:line="259" w:lineRule="auto"/>
        <w:rPr>
          <w:b/>
        </w:rPr>
      </w:pPr>
      <w:r w:rsidRPr="008C03FA">
        <w:rPr>
          <w:b/>
        </w:rPr>
        <w:t>What is the difference between a conventional lease and an Islamic lease?</w:t>
      </w:r>
    </w:p>
    <w:p w:rsidR="008C03FA" w:rsidRDefault="008C03FA" w:rsidP="008C03FA">
      <w:pPr>
        <w:pStyle w:val="ListParagraph"/>
      </w:pPr>
    </w:p>
    <w:p w:rsidR="008C03FA" w:rsidRDefault="008C03FA" w:rsidP="008C03FA">
      <w:pPr>
        <w:pStyle w:val="ListParagraph"/>
      </w:pPr>
      <w:r>
        <w:t>Below are the main differences in Conventional lease and an Islamic lease (Ijarah).</w:t>
      </w:r>
    </w:p>
    <w:p w:rsidR="008C03FA" w:rsidRDefault="008C03FA" w:rsidP="008C03FA">
      <w:pPr>
        <w:pStyle w:val="ListParagraph"/>
      </w:pPr>
    </w:p>
    <w:p w:rsidR="008C03FA" w:rsidRDefault="008C03FA" w:rsidP="008C03FA">
      <w:pPr>
        <w:pStyle w:val="ListParagraph"/>
        <w:numPr>
          <w:ilvl w:val="0"/>
          <w:numId w:val="7"/>
        </w:numPr>
        <w:spacing w:after="160" w:line="259" w:lineRule="auto"/>
      </w:pPr>
      <w:r>
        <w:t>Conventional lease starts from the very first day on which the price is paid by the bank irrespective of customer has received the delivery or not. Islamic lease starts after the delivery of the asset.</w:t>
      </w:r>
    </w:p>
    <w:p w:rsidR="008C03FA" w:rsidRDefault="008C03FA" w:rsidP="008C03FA">
      <w:pPr>
        <w:pStyle w:val="ListParagraph"/>
        <w:spacing w:after="160" w:line="259" w:lineRule="auto"/>
        <w:ind w:left="1440"/>
      </w:pPr>
    </w:p>
    <w:p w:rsidR="008C03FA" w:rsidRDefault="008C03FA" w:rsidP="008C03FA">
      <w:pPr>
        <w:pStyle w:val="ListParagraph"/>
        <w:numPr>
          <w:ilvl w:val="0"/>
          <w:numId w:val="7"/>
        </w:numPr>
        <w:spacing w:after="160" w:line="259" w:lineRule="auto"/>
      </w:pPr>
      <w:r>
        <w:t xml:space="preserve">Conventional lease do not differentiate between wear and tear or losses caused from the negligence of customer. Lessee is also liable for cost incurred due to natural disasters where as in Islamic lease lessor is also liable for wear and tear of an assets plus any loss occurred due to natural disasters. Lessee is only liable for losses occurred due to negligence. </w:t>
      </w:r>
    </w:p>
    <w:p w:rsidR="008C03FA" w:rsidRDefault="008C03FA" w:rsidP="008C03FA">
      <w:pPr>
        <w:pStyle w:val="ListParagraph"/>
      </w:pPr>
    </w:p>
    <w:p w:rsidR="008C03FA" w:rsidRDefault="008C03FA" w:rsidP="008C03FA">
      <w:pPr>
        <w:pStyle w:val="ListParagraph"/>
        <w:spacing w:after="160" w:line="259" w:lineRule="auto"/>
        <w:ind w:left="1440"/>
      </w:pPr>
    </w:p>
    <w:p w:rsidR="008C03FA" w:rsidRDefault="008C03FA" w:rsidP="008C03FA">
      <w:pPr>
        <w:pStyle w:val="ListParagraph"/>
        <w:numPr>
          <w:ilvl w:val="0"/>
          <w:numId w:val="7"/>
        </w:numPr>
        <w:spacing w:after="160" w:line="259" w:lineRule="auto"/>
      </w:pPr>
      <w:r>
        <w:t xml:space="preserve">In a conventional lease, unrestricted power is given to lessor to terminate the lease unilaterally whenever it wishes In an Islamic lease, lessor has the right to terminate the lease only when lessee breaks any term of the agreement. However if there is no contravention by lessee, lease cannot be terminated without mutual consent. </w:t>
      </w:r>
    </w:p>
    <w:p w:rsidR="008C03FA" w:rsidRDefault="008C03FA" w:rsidP="008C03FA">
      <w:pPr>
        <w:pStyle w:val="ListParagraph"/>
      </w:pPr>
    </w:p>
    <w:p w:rsidR="008C03FA" w:rsidRDefault="008C03FA" w:rsidP="008C03FA"/>
    <w:p w:rsidR="008C03FA" w:rsidRDefault="008C03FA" w:rsidP="008C03FA">
      <w:pPr>
        <w:pStyle w:val="ListParagraph"/>
      </w:pPr>
    </w:p>
    <w:p w:rsidR="008C03FA" w:rsidRDefault="008C03FA" w:rsidP="008C03FA">
      <w:pPr>
        <w:pStyle w:val="ListParagraph"/>
        <w:ind w:left="1440"/>
      </w:pPr>
    </w:p>
    <w:p w:rsidR="008C03FA" w:rsidRDefault="008C03FA" w:rsidP="008C03FA">
      <w:pPr>
        <w:pStyle w:val="ListParagraph"/>
        <w:ind w:left="1440"/>
      </w:pPr>
    </w:p>
    <w:p w:rsidR="008C03FA" w:rsidRDefault="008C03FA" w:rsidP="008C03FA">
      <w:pPr>
        <w:jc w:val="center"/>
      </w:pPr>
    </w:p>
    <w:p w:rsidR="008C03FA" w:rsidRPr="008B02CB" w:rsidRDefault="008C03FA" w:rsidP="008C03FA">
      <w:pPr>
        <w:jc w:val="center"/>
      </w:pPr>
    </w:p>
    <w:p w:rsidR="008C03FA" w:rsidRDefault="008C03F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85317"/>
    <w:multiLevelType w:val="hybridMultilevel"/>
    <w:tmpl w:val="23E44B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72E056A"/>
    <w:multiLevelType w:val="hybridMultilevel"/>
    <w:tmpl w:val="8A6CD5A8"/>
    <w:lvl w:ilvl="0" w:tplc="E2661074">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2D3D3604"/>
    <w:multiLevelType w:val="hybridMultilevel"/>
    <w:tmpl w:val="65BEB9D8"/>
    <w:lvl w:ilvl="0" w:tplc="68A060C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4D516AF4"/>
    <w:multiLevelType w:val="hybridMultilevel"/>
    <w:tmpl w:val="B13CB64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4D56325A"/>
    <w:multiLevelType w:val="hybridMultilevel"/>
    <w:tmpl w:val="21C26324"/>
    <w:lvl w:ilvl="0" w:tplc="F942E5D8">
      <w:numFmt w:val="bullet"/>
      <w:lvlText w:val="-"/>
      <w:lvlJc w:val="left"/>
      <w:pPr>
        <w:ind w:left="1800" w:hanging="360"/>
      </w:pPr>
      <w:rPr>
        <w:rFonts w:ascii="Calibri" w:eastAsiaTheme="minorHAnsi" w:hAnsi="Calibri"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8221DA"/>
    <w:multiLevelType w:val="hybridMultilevel"/>
    <w:tmpl w:val="B69ADB68"/>
    <w:lvl w:ilvl="0" w:tplc="8A16E6DA">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abstractNumId w:val="5"/>
  </w:num>
  <w:num w:numId="2">
    <w:abstractNumId w:val="0"/>
  </w:num>
  <w:num w:numId="3">
    <w:abstractNumId w:val="2"/>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64D"/>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C03FA"/>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15:docId w15:val="{153D8E7A-38AE-4AFE-9067-B8502B65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6308B-1A3C-4F9E-846B-FACB297F7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Ahsan Rana</cp:lastModifiedBy>
  <cp:revision>2</cp:revision>
  <dcterms:created xsi:type="dcterms:W3CDTF">2015-01-02T03:42:00Z</dcterms:created>
  <dcterms:modified xsi:type="dcterms:W3CDTF">2015-01-02T03:42:00Z</dcterms:modified>
</cp:coreProperties>
</file>