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01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1461">
            <w:pPr>
              <w:pStyle w:val="Default"/>
              <w:rPr>
                <w:rFonts w:asciiTheme="minorHAnsi" w:hAnsiTheme="minorHAnsi"/>
              </w:rPr>
            </w:pPr>
            <w:r>
              <w:rPr>
                <w:rFonts w:asciiTheme="minorHAnsi" w:hAnsiTheme="minorHAnsi"/>
              </w:rPr>
              <w:t>Aleck Mandivengerei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1461">
            <w:pPr>
              <w:pStyle w:val="Default"/>
              <w:rPr>
                <w:rFonts w:asciiTheme="minorHAnsi" w:hAnsiTheme="minorHAnsi"/>
              </w:rPr>
            </w:pPr>
            <w:r>
              <w:rPr>
                <w:rFonts w:asciiTheme="minorHAnsi" w:hAnsiTheme="minorHAnsi"/>
              </w:rPr>
              <w:t>1674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1461">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1461">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91461" w:rsidRDefault="00891461" w:rsidP="00A851DA">
            <w:pPr>
              <w:rPr>
                <w:rFonts w:ascii="Arial" w:hAnsi="Arial" w:cs="Arial"/>
                <w:sz w:val="24"/>
                <w:szCs w:val="24"/>
              </w:rPr>
            </w:pPr>
          </w:p>
          <w:p w:rsidR="00891461" w:rsidRPr="00041A83" w:rsidRDefault="00891461" w:rsidP="00891461">
            <w:pPr>
              <w:spacing w:line="360" w:lineRule="auto"/>
              <w:jc w:val="both"/>
              <w:rPr>
                <w:rFonts w:ascii="Arial" w:hAnsi="Arial" w:cs="Arial"/>
                <w:sz w:val="24"/>
                <w:szCs w:val="24"/>
              </w:rPr>
            </w:pPr>
            <w:r w:rsidRPr="00041A83">
              <w:rPr>
                <w:rFonts w:ascii="Arial" w:hAnsi="Arial" w:cs="Arial"/>
                <w:sz w:val="24"/>
                <w:szCs w:val="24"/>
              </w:rPr>
              <w:t xml:space="preserve">1. i   </w:t>
            </w:r>
            <w:r w:rsidRPr="00041A83">
              <w:rPr>
                <w:rFonts w:ascii="Arial" w:hAnsi="Arial" w:cs="Arial"/>
                <w:b/>
                <w:sz w:val="24"/>
                <w:szCs w:val="24"/>
              </w:rPr>
              <w:t>Fraud</w:t>
            </w:r>
            <w:r w:rsidRPr="00041A83">
              <w:rPr>
                <w:rFonts w:ascii="Arial" w:hAnsi="Arial" w:cs="Arial"/>
                <w:sz w:val="24"/>
                <w:szCs w:val="24"/>
              </w:rPr>
              <w:t xml:space="preserve"> embraces all multifarious means which human ingenuity can devise which are resorted to by one individual to get an advantage over another by false representation, </w:t>
            </w:r>
            <w:sdt>
              <w:sdtPr>
                <w:rPr>
                  <w:rFonts w:ascii="Arial" w:hAnsi="Arial" w:cs="Arial"/>
                  <w:sz w:val="24"/>
                  <w:szCs w:val="24"/>
                </w:rPr>
                <w:id w:val="-931039780"/>
                <w:citation/>
              </w:sdtPr>
              <w:sdtContent>
                <w:r w:rsidRPr="00041A83">
                  <w:rPr>
                    <w:rFonts w:ascii="Arial" w:hAnsi="Arial" w:cs="Arial"/>
                    <w:sz w:val="24"/>
                    <w:szCs w:val="24"/>
                  </w:rPr>
                  <w:fldChar w:fldCharType="begin"/>
                </w:r>
                <w:r w:rsidRPr="00041A83">
                  <w:rPr>
                    <w:rFonts w:ascii="Arial" w:hAnsi="Arial" w:cs="Arial"/>
                    <w:sz w:val="24"/>
                    <w:szCs w:val="24"/>
                  </w:rPr>
                  <w:instrText xml:space="preserve"> CITATION Sin06 \l 1033 </w:instrText>
                </w:r>
                <w:r w:rsidRPr="00041A83">
                  <w:rPr>
                    <w:rFonts w:ascii="Arial" w:hAnsi="Arial" w:cs="Arial"/>
                    <w:sz w:val="24"/>
                    <w:szCs w:val="24"/>
                  </w:rPr>
                  <w:fldChar w:fldCharType="separate"/>
                </w:r>
                <w:r w:rsidRPr="00041A83">
                  <w:rPr>
                    <w:rFonts w:ascii="Arial" w:hAnsi="Arial" w:cs="Arial"/>
                    <w:sz w:val="24"/>
                    <w:szCs w:val="24"/>
                  </w:rPr>
                  <w:t>(Singleton, et al., 2006)</w:t>
                </w:r>
                <w:r w:rsidRPr="00041A83">
                  <w:rPr>
                    <w:rFonts w:ascii="Arial" w:hAnsi="Arial" w:cs="Arial"/>
                    <w:sz w:val="24"/>
                    <w:szCs w:val="24"/>
                  </w:rPr>
                  <w:fldChar w:fldCharType="end"/>
                </w:r>
              </w:sdtContent>
            </w:sdt>
            <w:r w:rsidRPr="00041A83">
              <w:rPr>
                <w:rFonts w:ascii="Arial" w:hAnsi="Arial" w:cs="Arial"/>
                <w:sz w:val="24"/>
                <w:szCs w:val="24"/>
              </w:rPr>
              <w:t xml:space="preserve">. Fraud usually involves elements of deceit and concealment of material facts to deceive unsuspecting victims. Fraud can be committed by an individual or organisation for the benefit of an individual, a group of persons or the whole organisation. In most fraud cases there are conditions which should be present for fraud take place and these are pressure, opportunity and rationalization. Pressure entails an un-shareable financial need such as huge debts and drug addiction. Opportunity is the ability to commit the fraud without being caught, this usually occurs when there are weak internal controls or when an employee is over trusted. Rationalisation refers to the justification that the fraudster proffers to appease his guilty conscience. This includes the thinking that the amount stolen is too little to hurt the organisation, that the organisation is underpaying me and that I am just borrowing the funds and will return it latter. These three factors are known as the fraud triangle according to a research carried out by Dr. Donald R. Cressey in 1940 at Indiana University. When all these three factors are present in an organisation then there is fraud risk, Association of Certified Fraud Examiners </w:t>
            </w:r>
            <w:sdt>
              <w:sdtPr>
                <w:rPr>
                  <w:rFonts w:ascii="Arial" w:hAnsi="Arial" w:cs="Arial"/>
                  <w:sz w:val="24"/>
                  <w:szCs w:val="24"/>
                </w:rPr>
                <w:id w:val="-750664550"/>
                <w:citation/>
              </w:sdtPr>
              <w:sdtContent>
                <w:r w:rsidRPr="00041A83">
                  <w:rPr>
                    <w:rFonts w:ascii="Arial" w:hAnsi="Arial" w:cs="Arial"/>
                    <w:sz w:val="24"/>
                    <w:szCs w:val="24"/>
                  </w:rPr>
                  <w:fldChar w:fldCharType="begin"/>
                </w:r>
                <w:r w:rsidRPr="00041A83">
                  <w:rPr>
                    <w:rFonts w:ascii="Arial" w:hAnsi="Arial" w:cs="Arial"/>
                    <w:sz w:val="24"/>
                    <w:szCs w:val="24"/>
                  </w:rPr>
                  <w:instrText xml:space="preserve">CITATION ACF15 \l 1033 </w:instrText>
                </w:r>
                <w:r w:rsidRPr="00041A83">
                  <w:rPr>
                    <w:rFonts w:ascii="Arial" w:hAnsi="Arial" w:cs="Arial"/>
                    <w:sz w:val="24"/>
                    <w:szCs w:val="24"/>
                  </w:rPr>
                  <w:fldChar w:fldCharType="separate"/>
                </w:r>
                <w:r w:rsidRPr="00041A83">
                  <w:rPr>
                    <w:rFonts w:ascii="Arial" w:hAnsi="Arial" w:cs="Arial"/>
                    <w:sz w:val="24"/>
                    <w:szCs w:val="24"/>
                  </w:rPr>
                  <w:t>(ACFE, 2015)</w:t>
                </w:r>
                <w:r w:rsidRPr="00041A83">
                  <w:rPr>
                    <w:rFonts w:ascii="Arial" w:hAnsi="Arial" w:cs="Arial"/>
                    <w:sz w:val="24"/>
                    <w:szCs w:val="24"/>
                  </w:rPr>
                  <w:fldChar w:fldCharType="end"/>
                </w:r>
              </w:sdtContent>
            </w:sdt>
            <w:r w:rsidRPr="00041A83">
              <w:rPr>
                <w:rFonts w:ascii="Arial" w:hAnsi="Arial" w:cs="Arial"/>
                <w:sz w:val="24"/>
                <w:szCs w:val="24"/>
              </w:rPr>
              <w:t>.</w:t>
            </w:r>
          </w:p>
          <w:p w:rsidR="00891461" w:rsidRPr="00041A83" w:rsidRDefault="00891461" w:rsidP="00891461">
            <w:pPr>
              <w:spacing w:line="360" w:lineRule="auto"/>
              <w:jc w:val="both"/>
              <w:rPr>
                <w:rFonts w:ascii="Arial" w:hAnsi="Arial" w:cs="Arial"/>
                <w:sz w:val="24"/>
                <w:szCs w:val="24"/>
              </w:rPr>
            </w:pPr>
          </w:p>
          <w:p w:rsidR="00891461" w:rsidRPr="00041A83" w:rsidRDefault="00891461" w:rsidP="00891461">
            <w:pPr>
              <w:pStyle w:val="ListParagraph"/>
              <w:numPr>
                <w:ilvl w:val="0"/>
                <w:numId w:val="2"/>
              </w:numPr>
              <w:spacing w:after="160" w:line="360" w:lineRule="auto"/>
              <w:ind w:left="450"/>
              <w:jc w:val="both"/>
              <w:rPr>
                <w:rFonts w:ascii="Arial" w:hAnsi="Arial" w:cs="Arial"/>
                <w:sz w:val="24"/>
                <w:szCs w:val="24"/>
              </w:rPr>
            </w:pPr>
            <w:r w:rsidRPr="00041A83">
              <w:rPr>
                <w:rFonts w:ascii="Arial" w:hAnsi="Arial" w:cs="Arial"/>
                <w:sz w:val="24"/>
                <w:szCs w:val="24"/>
              </w:rPr>
              <w:lastRenderedPageBreak/>
              <w:t xml:space="preserve">ii   Forensic accounting is the use expert accounting skills to support actual or probable litigation. Skills that are important to the successful completion of forensic accounting include professional skepticism, detail oriented, analytical, inquisitive, intuitive, responsive, insightful, persistence and ethical, </w:t>
            </w:r>
            <w:sdt>
              <w:sdtPr>
                <w:rPr>
                  <w:rFonts w:ascii="Arial" w:hAnsi="Arial" w:cs="Arial"/>
                  <w:sz w:val="24"/>
                  <w:szCs w:val="24"/>
                </w:rPr>
                <w:id w:val="639151381"/>
                <w:citation/>
              </w:sdtPr>
              <w:sdtContent>
                <w:r w:rsidRPr="00041A83">
                  <w:rPr>
                    <w:rFonts w:ascii="Arial" w:hAnsi="Arial" w:cs="Arial"/>
                    <w:sz w:val="24"/>
                    <w:szCs w:val="24"/>
                  </w:rPr>
                  <w:fldChar w:fldCharType="begin"/>
                </w:r>
                <w:r w:rsidRPr="00041A83">
                  <w:rPr>
                    <w:rFonts w:ascii="Arial" w:hAnsi="Arial" w:cs="Arial"/>
                    <w:sz w:val="24"/>
                    <w:szCs w:val="24"/>
                  </w:rPr>
                  <w:instrText xml:space="preserve"> CITATION Dav09 \l 1033 </w:instrText>
                </w:r>
                <w:r w:rsidRPr="00041A83">
                  <w:rPr>
                    <w:rFonts w:ascii="Arial" w:hAnsi="Arial" w:cs="Arial"/>
                    <w:sz w:val="24"/>
                    <w:szCs w:val="24"/>
                  </w:rPr>
                  <w:fldChar w:fldCharType="separate"/>
                </w:r>
                <w:r w:rsidRPr="00041A83">
                  <w:rPr>
                    <w:rFonts w:ascii="Arial" w:hAnsi="Arial" w:cs="Arial"/>
                    <w:sz w:val="24"/>
                    <w:szCs w:val="24"/>
                  </w:rPr>
                  <w:t>(Davis, et al., 2009)</w:t>
                </w:r>
                <w:r w:rsidRPr="00041A83">
                  <w:rPr>
                    <w:rFonts w:ascii="Arial" w:hAnsi="Arial" w:cs="Arial"/>
                    <w:sz w:val="24"/>
                    <w:szCs w:val="24"/>
                  </w:rPr>
                  <w:fldChar w:fldCharType="end"/>
                </w:r>
              </w:sdtContent>
            </w:sdt>
            <w:r w:rsidRPr="00041A83">
              <w:rPr>
                <w:rFonts w:ascii="Arial" w:hAnsi="Arial" w:cs="Arial"/>
                <w:sz w:val="24"/>
                <w:szCs w:val="24"/>
              </w:rPr>
              <w:t>.</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Analytical entails that forensic accountants must analyse the validity of source documents and financial reports to determine if the transactions were recorded fairly. In some cases, documentation will not support figures on the financial reports and forensic accountants are required establish where the numbers came from and establish whether they faithfully represent the actual transaction that occurred.</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In undertaking an investigation, forensic accountants must maintain professional skepticism which being careful and suspecting that something might have happened. This means that the investigator should have a questioning mind.</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Detail oriented is a very key skill that means that analyzing large quantities of numbers at each step the investigator must match the numbers from supporting documents to numbers on the financial reports. These two sets of numbers must be compared for inconsistences. Detail oriented also entails seeking detailed information for each transaction.</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Persistence is a skill that requires the forensic accountant continually request supporting documents in cases where the financial reports lack supporting documents. To be able to draw conclusions the forensic accountant must have supporting documents.</w:t>
            </w:r>
          </w:p>
          <w:p w:rsidR="00891461" w:rsidRPr="00041A83" w:rsidRDefault="00891461" w:rsidP="00891461">
            <w:pPr>
              <w:pStyle w:val="ListParagraph"/>
              <w:spacing w:line="360" w:lineRule="auto"/>
              <w:ind w:left="450"/>
              <w:jc w:val="both"/>
              <w:rPr>
                <w:rFonts w:ascii="Arial" w:hAnsi="Arial" w:cs="Arial"/>
                <w:sz w:val="24"/>
                <w:szCs w:val="24"/>
              </w:rPr>
            </w:pPr>
          </w:p>
          <w:p w:rsidR="00891461"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Inquisitiveness is an interviewing skill that enables the forensic investigator to gain useful information through asking questions. Pertinent questions must be asked continually if the interviewees fail to answers questions.</w:t>
            </w:r>
          </w:p>
          <w:p w:rsidR="00891461"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numPr>
                <w:ilvl w:val="0"/>
                <w:numId w:val="3"/>
              </w:numPr>
              <w:spacing w:after="160" w:line="360" w:lineRule="auto"/>
              <w:jc w:val="both"/>
              <w:rPr>
                <w:rFonts w:ascii="Arial" w:hAnsi="Arial" w:cs="Arial"/>
                <w:sz w:val="24"/>
                <w:szCs w:val="24"/>
              </w:rPr>
            </w:pPr>
            <w:r w:rsidRPr="00041A83">
              <w:rPr>
                <w:rFonts w:ascii="Arial" w:hAnsi="Arial" w:cs="Arial"/>
                <w:sz w:val="24"/>
                <w:szCs w:val="24"/>
              </w:rPr>
              <w:lastRenderedPageBreak/>
              <w:t xml:space="preserve">iii    To successfully complete a forensic accounting task a forensic accountant should possess the following qualities of mind and or body: </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 xml:space="preserve">To successfully complete a forensic investigation a forensic investigator must be creative. This entails considering alternative interpretations that might not be seen as making a business sense. This innovation will benefit the case as it is likely be superior to what the opposing counsel might even think of. </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 xml:space="preserve">A forensic accountant must be independent when dealing with a case. He cannot be seen to represent both sides of a single case or having a major interest on the outcome of case. If the forensic investigator is not independent the findings may be biased towards a certain outcome. </w:t>
            </w: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 xml:space="preserve">A forensic accountant should have the ability to persevere in fraud investigation cases. A forensic accountant should not be quick to give up a case due to hardships but must have the ability to remain resolute in adversity.  </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An investigator must always have curiosity, which is the ability to find out what has actually happened and why has it happened. This inquisitive mind will lead the fraud examiner into pressing on and searching as many sources of information as possible to get more information about a case.</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 xml:space="preserve">Others useful skills of the body that a forensic investigator should possess include a healthy mind, good posture, smart dress code and good voice projections when interviewing. </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numPr>
                <w:ilvl w:val="0"/>
                <w:numId w:val="4"/>
              </w:numPr>
              <w:spacing w:after="160" w:line="360" w:lineRule="auto"/>
              <w:jc w:val="both"/>
              <w:rPr>
                <w:rFonts w:ascii="Arial" w:hAnsi="Arial" w:cs="Arial"/>
                <w:sz w:val="24"/>
                <w:szCs w:val="24"/>
              </w:rPr>
            </w:pPr>
            <w:r w:rsidRPr="00041A83">
              <w:rPr>
                <w:rFonts w:ascii="Arial" w:hAnsi="Arial" w:cs="Arial"/>
                <w:sz w:val="24"/>
                <w:szCs w:val="24"/>
              </w:rPr>
              <w:t>iv    When investigating fraud cases, the fraud investigator may lack powers to induce evidence from witness as is the case with law enforcement agencies.  Before commencing a fraud investigation, the investigator should establish a fraud theory which is also known as case theory. It involves establishing an investigation hypothesis and then testing the existing data against facts available. This process should be continually refined until a certain conclusion can be drawn.</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 xml:space="preserve">A fraud case usually begins with a complainant from a vendor or a tip off from an employee. The receipt of the complainant or an anonymous tip off marks the beginning of a fraud investigation.  The next step is to analysis the complaint to </w:t>
            </w:r>
            <w:r w:rsidRPr="00041A83">
              <w:rPr>
                <w:rFonts w:ascii="Arial" w:hAnsi="Arial" w:cs="Arial"/>
                <w:sz w:val="24"/>
                <w:szCs w:val="24"/>
              </w:rPr>
              <w:lastRenderedPageBreak/>
              <w:t xml:space="preserve">see if it warrants further investigations. The investigator should consider interviewing the complainant or look for indicators of frauds also known as red flags in order to obtain more information to justify the fraud investigation.    </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The fraud investigator then conducts due diligence checks on the suspected individual or company. All sources of information can be consulted such as records maintained by the company and online sources using the internet. The information obtained can be useful in evaluating allegations and in establishing other frauds and abuse committed by the company or individual. After this step the investigator should collect all relevant documents and interviews within the victim organisation.</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 xml:space="preserve">Now that the investigator has gathered all the available documents and interviewed employees within the organisation he should consider whether based on the information at hand there is reasonable assurance that fraud has occurred or is about to occur. This is also known as predication.  An investigation who conducts an investigation without sufficient predication may end up being criminally liable. At this stage it may be necessary to refine the proposition, making a change the fraud/ case theory and sufficient predication exists. </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If predication is found to exist, the investigator then conducts an external investigation of persons external to the organisation. In conducting the interviews, the investigator should start by interviewing the less interested and less involved persons moving towards the prime suspect. The reason for this interviewing approach is to prevent the subject from being alert and distorting or destroying evidence and witnesses.</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Where illicit payments are involved the next stage will be to prove the illicit payments. If advanced technology is available and the evidence is in plain view it can be proved directly. In most case, however fraud is usually proved circumstantially by inference. The next stage is to obtain cooperation from key witnesses either within or outside the company. The investigator should be careful not to promise ultimate confidentiality as most witnesses will want to remain unknown.</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lastRenderedPageBreak/>
              <w:t>Armed with all the above evidence the fraud investigator then interviews the suspect. Like in the general principle of interviewing the subject must be asked question from non-threatening questions to more sensitive questions. At the end of the interview the investigator should ask an admission seeking question in a way that shows the subject that the investigator is confident that the subject commit fraud. Questions regarding the number of cases the frauds have occurred, the reason for committing the fraud, total amount stolen and any amounts available not yet spend should be asked.</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After interviewing the primary subject, the investigator then prepares a fraud report. Generally, there is no specific format for the report as it should vary depending on the company variable and interest. The fraud investigator should base the recommendations on the findings of the investigation. Care should be taken to avoid statements regarding the guilty or innocence of the subject. The investigator should prepare the report with the anticipation that it will used by external parties such as opposing counsel, law enforcement agents and courts of law.</w:t>
            </w: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 xml:space="preserve"> </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numPr>
                <w:ilvl w:val="0"/>
                <w:numId w:val="5"/>
              </w:numPr>
              <w:spacing w:after="160" w:line="360" w:lineRule="auto"/>
              <w:jc w:val="both"/>
              <w:rPr>
                <w:rFonts w:ascii="Arial" w:hAnsi="Arial" w:cs="Arial"/>
                <w:sz w:val="24"/>
                <w:szCs w:val="24"/>
              </w:rPr>
            </w:pPr>
            <w:r w:rsidRPr="00041A83">
              <w:rPr>
                <w:rFonts w:ascii="Arial" w:hAnsi="Arial" w:cs="Arial"/>
                <w:sz w:val="24"/>
                <w:szCs w:val="24"/>
              </w:rPr>
              <w:t>v The differences between forensic accounting, fraud auditing and investigative auditing from financial auditing are as follows.</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The goals of the two fields of accounting differs in that financial auditing aims to render an opinion on whether a set of financial statements complies with a recognized financial reporting framework such as a national or IFRS GAAP while forensic accounting and investigation refers to a financial investigation that will likely end up in litigation.</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Usually financial auditors may discover that fraud has occurred in an organisation and after their audit findings forensic accountants will be called in to link the fraud detected to the actual perpetrator.  The distinction here is that financial audit usually precedes a forensic audit but a financial audit does not normally follow a forensic investigation.</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 xml:space="preserve">Financial auditors’ objective is to give an assurance on the extent to which a set of financial statements complies with a reporting framework. The level of </w:t>
            </w:r>
            <w:r w:rsidRPr="00041A83">
              <w:rPr>
                <w:rFonts w:ascii="Arial" w:hAnsi="Arial" w:cs="Arial"/>
                <w:sz w:val="24"/>
                <w:szCs w:val="24"/>
              </w:rPr>
              <w:lastRenderedPageBreak/>
              <w:t>materiality for forensic investigation is lower and more dedicated than financial auditing. To the organisation as a whole a forensic investigation is likely to be more valuable than a financial auditing.</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A financial audit is likely to be used when there is financial statement fraud while asset theft cases are more likely to be handled by forensic accountants and fraud investigators</w:t>
            </w:r>
          </w:p>
          <w:p w:rsidR="00891461" w:rsidRPr="00041A83" w:rsidRDefault="00891461" w:rsidP="00891461">
            <w:pPr>
              <w:spacing w:line="360" w:lineRule="auto"/>
              <w:ind w:left="90"/>
              <w:jc w:val="both"/>
              <w:rPr>
                <w:rFonts w:ascii="Arial" w:hAnsi="Arial" w:cs="Arial"/>
                <w:sz w:val="24"/>
                <w:szCs w:val="24"/>
              </w:rPr>
            </w:pPr>
          </w:p>
          <w:p w:rsidR="00891461" w:rsidRPr="00041A83" w:rsidRDefault="00891461" w:rsidP="00891461">
            <w:pPr>
              <w:spacing w:line="360" w:lineRule="auto"/>
              <w:ind w:left="90"/>
              <w:jc w:val="both"/>
              <w:rPr>
                <w:rFonts w:ascii="Arial" w:hAnsi="Arial" w:cs="Arial"/>
                <w:b/>
                <w:sz w:val="24"/>
                <w:szCs w:val="24"/>
              </w:rPr>
            </w:pPr>
            <w:r w:rsidRPr="00041A83">
              <w:rPr>
                <w:rFonts w:ascii="Arial" w:hAnsi="Arial" w:cs="Arial"/>
                <w:b/>
                <w:sz w:val="24"/>
                <w:szCs w:val="24"/>
              </w:rPr>
              <w:t>Case study</w:t>
            </w:r>
          </w:p>
          <w:p w:rsidR="00891461" w:rsidRPr="00041A83" w:rsidRDefault="00891461" w:rsidP="00891461">
            <w:pPr>
              <w:pStyle w:val="ListParagraph"/>
              <w:numPr>
                <w:ilvl w:val="0"/>
                <w:numId w:val="6"/>
              </w:numPr>
              <w:spacing w:after="160" w:line="360" w:lineRule="auto"/>
              <w:jc w:val="both"/>
              <w:rPr>
                <w:rFonts w:ascii="Arial" w:hAnsi="Arial" w:cs="Arial"/>
                <w:sz w:val="24"/>
                <w:szCs w:val="24"/>
              </w:rPr>
            </w:pPr>
            <w:r w:rsidRPr="00041A83">
              <w:rPr>
                <w:rFonts w:ascii="Arial" w:hAnsi="Arial" w:cs="Arial"/>
                <w:sz w:val="24"/>
                <w:szCs w:val="24"/>
              </w:rPr>
              <w:t>A forensic investigator must be assigned to investigate the case. The investigator should start by interviewing the secretary who blew the whistle. The reason for interviewing the secretary who is the informant is to establish whether there is need to conduct an investigation. The investigator should also look for red flags that are indicative of fraud and should establish a fraud theory to try to establish how the administrator might have defrauded the company. The investigator must gather as much information as possible about the administrator from online and company sources. These preliminary investigations must be conducted during no business hours so as not to alert the administrator.</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numPr>
                <w:ilvl w:val="0"/>
                <w:numId w:val="6"/>
              </w:numPr>
              <w:spacing w:after="160" w:line="360" w:lineRule="auto"/>
              <w:jc w:val="both"/>
              <w:rPr>
                <w:rFonts w:ascii="Arial" w:hAnsi="Arial" w:cs="Arial"/>
                <w:sz w:val="24"/>
                <w:szCs w:val="24"/>
              </w:rPr>
            </w:pPr>
            <w:r w:rsidRPr="00041A83">
              <w:rPr>
                <w:rFonts w:ascii="Arial" w:hAnsi="Arial" w:cs="Arial"/>
                <w:sz w:val="24"/>
                <w:szCs w:val="24"/>
              </w:rPr>
              <w:t>The following documents can be helpful in disclosing the administrator’s fraud activities: purchase requisitions, invoices, credit card, company cheques.</w:t>
            </w:r>
          </w:p>
          <w:p w:rsidR="00891461" w:rsidRPr="00041A83" w:rsidRDefault="00891461" w:rsidP="00891461">
            <w:pPr>
              <w:spacing w:line="360" w:lineRule="auto"/>
              <w:ind w:left="450"/>
              <w:jc w:val="both"/>
              <w:rPr>
                <w:rFonts w:ascii="Arial" w:hAnsi="Arial" w:cs="Arial"/>
                <w:sz w:val="24"/>
                <w:szCs w:val="24"/>
              </w:rPr>
            </w:pPr>
            <w:r w:rsidRPr="00041A83">
              <w:rPr>
                <w:rFonts w:ascii="Arial" w:hAnsi="Arial" w:cs="Arial"/>
                <w:sz w:val="24"/>
                <w:szCs w:val="24"/>
              </w:rPr>
              <w:t xml:space="preserve">Before releasing funds, the school should have purchase requisitions which are initiated by the employees intending to make purchases or pay for business expenses. An independent employee should recommend the purchases on the requisition book or form depending on the organisation. At the most senior level of the organisation the requisitions will have to be approved to indicate that the purchase is authentic. A review of the requisitions may reveal that the administrator forged the signatures to initiate the purchase requisitions or colluded with other junior employees to initiate documents which he then approves to himself. </w:t>
            </w:r>
          </w:p>
          <w:p w:rsidR="00891461" w:rsidRPr="00041A83" w:rsidRDefault="00891461" w:rsidP="00891461">
            <w:pPr>
              <w:spacing w:line="360" w:lineRule="auto"/>
              <w:ind w:left="450"/>
              <w:jc w:val="both"/>
              <w:rPr>
                <w:rFonts w:ascii="Arial" w:hAnsi="Arial" w:cs="Arial"/>
                <w:sz w:val="24"/>
                <w:szCs w:val="24"/>
              </w:rPr>
            </w:pPr>
          </w:p>
          <w:p w:rsidR="00891461" w:rsidRPr="00041A83" w:rsidRDefault="00891461" w:rsidP="00891461">
            <w:pPr>
              <w:spacing w:line="360" w:lineRule="auto"/>
              <w:ind w:left="450"/>
              <w:jc w:val="both"/>
              <w:rPr>
                <w:rFonts w:ascii="Arial" w:hAnsi="Arial" w:cs="Arial"/>
                <w:sz w:val="24"/>
                <w:szCs w:val="24"/>
              </w:rPr>
            </w:pPr>
            <w:r w:rsidRPr="00041A83">
              <w:rPr>
                <w:rFonts w:ascii="Arial" w:hAnsi="Arial" w:cs="Arial"/>
                <w:sz w:val="24"/>
                <w:szCs w:val="24"/>
              </w:rPr>
              <w:t xml:space="preserve">When purchases are made and expenses are paid by employees an invoice must be issued as proof of payment to the supplier. A lot of irregularities may be exposed by a review of the invoices presented to the company by </w:t>
            </w:r>
            <w:r w:rsidRPr="00041A83">
              <w:rPr>
                <w:rFonts w:ascii="Arial" w:hAnsi="Arial" w:cs="Arial"/>
                <w:sz w:val="24"/>
                <w:szCs w:val="24"/>
              </w:rPr>
              <w:lastRenderedPageBreak/>
              <w:t>employees. The company should have a list of reputable suppliers from which employees may make purchases. A review may indicate invoices made for requisitions not approved, some suppliers may overcharge the company and share the overcharge with the employee. An invoice may reveal some expenses or purchases which are not normally classified as business expenses. Employees may pay their personal expenses using company funds and attach supporting receipts as proof of payment.</w:t>
            </w:r>
          </w:p>
          <w:p w:rsidR="00891461" w:rsidRPr="00041A83" w:rsidRDefault="00891461" w:rsidP="00891461">
            <w:pPr>
              <w:spacing w:line="360" w:lineRule="auto"/>
              <w:ind w:left="450"/>
              <w:jc w:val="both"/>
              <w:rPr>
                <w:rFonts w:ascii="Arial" w:hAnsi="Arial" w:cs="Arial"/>
                <w:sz w:val="24"/>
                <w:szCs w:val="24"/>
              </w:rPr>
            </w:pPr>
          </w:p>
          <w:p w:rsidR="00891461" w:rsidRPr="00041A83" w:rsidRDefault="00891461" w:rsidP="00891461">
            <w:pPr>
              <w:spacing w:line="360" w:lineRule="auto"/>
              <w:ind w:left="450"/>
              <w:jc w:val="both"/>
              <w:rPr>
                <w:rFonts w:ascii="Arial" w:hAnsi="Arial" w:cs="Arial"/>
                <w:sz w:val="24"/>
                <w:szCs w:val="24"/>
              </w:rPr>
            </w:pPr>
            <w:r w:rsidRPr="00041A83">
              <w:rPr>
                <w:rFonts w:ascii="Arial" w:hAnsi="Arial" w:cs="Arial"/>
                <w:sz w:val="24"/>
                <w:szCs w:val="24"/>
              </w:rPr>
              <w:t>A Credit card register or credit card statements from the bank may be very helpful in disclosing the administrator’s fraudulent activities. The suppliers who supplied the goods or services to the administrators may be interviewed to obtain more information. In most cases where goods are to be mailed to the company, will be mailed to the administrator’s place of residence or an address controlled by him. Payments made for repairs to private motor vehicle may be easily detected as the vehicle used by the administrator might not need any repairs. If the school usually entertains and provide meals to customers during week days, payments for these expenses during the weekend may be an indication of fraud which the ACFE calls a red flag.</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numPr>
                <w:ilvl w:val="0"/>
                <w:numId w:val="6"/>
              </w:numPr>
              <w:spacing w:after="160" w:line="360" w:lineRule="auto"/>
              <w:jc w:val="both"/>
              <w:rPr>
                <w:rFonts w:ascii="Arial" w:hAnsi="Arial" w:cs="Arial"/>
                <w:sz w:val="24"/>
                <w:szCs w:val="24"/>
              </w:rPr>
            </w:pPr>
            <w:r w:rsidRPr="00041A83">
              <w:rPr>
                <w:rFonts w:ascii="Arial" w:hAnsi="Arial" w:cs="Arial"/>
                <w:sz w:val="24"/>
                <w:szCs w:val="24"/>
              </w:rPr>
              <w:t xml:space="preserve">A forensic accountant should be hired as professional accounting skills are required prove the case and there is a possibility that the matter will end up in courts of law. It might be advisable to ask corporate colleagues for referrals. Referrals is the easiest way to retain qualified private investigators without alerting the suspects. If suspects are prematurely alerted they may destroy evidence and tamper with witnesses to prejudice the investigations. culprit. </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The forensic accountant should be properly licensed and insured. Examples of forensic accountants are CPA Certified Financial Forensics (CFF) and Certified Professional Forensic Accountant, (CPFA). Unlicensed professionals will not be allowed to testify in courts as expert witnesses.</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 xml:space="preserve">The forensic accountant should also have worked on a case similar to the case at hand. An expert may be a licensed forensic accountant but may lack the experience and skills in the case at hand. Forensic accountant should review their skills and experience against the case at hand to establish whether they are properly qualified for the case or not. When a forensic accountant once </w:t>
            </w:r>
            <w:r w:rsidRPr="00041A83">
              <w:rPr>
                <w:rFonts w:ascii="Arial" w:hAnsi="Arial" w:cs="Arial"/>
                <w:sz w:val="24"/>
                <w:szCs w:val="24"/>
              </w:rPr>
              <w:lastRenderedPageBreak/>
              <w:t xml:space="preserve">worked on a similar case the outcome of the case should be reviewed to establish whether  </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numPr>
                <w:ilvl w:val="0"/>
                <w:numId w:val="6"/>
              </w:numPr>
              <w:spacing w:after="160" w:line="360" w:lineRule="auto"/>
              <w:jc w:val="both"/>
              <w:rPr>
                <w:rFonts w:ascii="Arial" w:hAnsi="Arial" w:cs="Arial"/>
                <w:sz w:val="24"/>
                <w:szCs w:val="24"/>
              </w:rPr>
            </w:pPr>
            <w:r w:rsidRPr="00041A83">
              <w:rPr>
                <w:rFonts w:ascii="Arial" w:hAnsi="Arial" w:cs="Arial"/>
                <w:sz w:val="24"/>
                <w:szCs w:val="24"/>
              </w:rPr>
              <w:t>The administrator should be interviewed as he is the primary subject of the fraud case. The interview would also be useful to establish the number of instances that the administrator defrauded the school. An interview might also be useful ascertain the amount of money stolen from the company and to recover the amounts that have not yet been spend and recover stolen money used to purchase other assets or distributed to relatives.</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450"/>
              <w:jc w:val="both"/>
              <w:rPr>
                <w:rFonts w:ascii="Arial" w:hAnsi="Arial" w:cs="Arial"/>
                <w:sz w:val="24"/>
                <w:szCs w:val="24"/>
              </w:rPr>
            </w:pPr>
            <w:r w:rsidRPr="00041A83">
              <w:rPr>
                <w:rFonts w:ascii="Arial" w:hAnsi="Arial" w:cs="Arial"/>
                <w:sz w:val="24"/>
                <w:szCs w:val="24"/>
              </w:rPr>
              <w:t>The interview of the administrator should be properly planned. It would be ideal to interview other people first moving closer to the administrator. As the administrator is the prime suspect in this case he should be the last person to be interviewed and should be told during the interview that other members of the school have already been interviewed without necessarily stating their names.</w:t>
            </w:r>
          </w:p>
          <w:p w:rsidR="00891461" w:rsidRPr="00041A83" w:rsidRDefault="00891461" w:rsidP="00891461">
            <w:pPr>
              <w:pStyle w:val="ListParagraph"/>
              <w:spacing w:line="360" w:lineRule="auto"/>
              <w:ind w:left="450"/>
              <w:jc w:val="both"/>
              <w:rPr>
                <w:rFonts w:ascii="Arial" w:hAnsi="Arial" w:cs="Arial"/>
                <w:sz w:val="24"/>
                <w:szCs w:val="24"/>
              </w:rPr>
            </w:pPr>
          </w:p>
          <w:p w:rsidR="00891461" w:rsidRPr="00041A83" w:rsidRDefault="00891461" w:rsidP="00891461">
            <w:pPr>
              <w:pStyle w:val="ListParagraph"/>
              <w:spacing w:line="360" w:lineRule="auto"/>
              <w:ind w:left="0"/>
              <w:jc w:val="both"/>
              <w:rPr>
                <w:rFonts w:ascii="Arial" w:hAnsi="Arial" w:cs="Arial"/>
                <w:sz w:val="24"/>
                <w:szCs w:val="24"/>
              </w:rPr>
            </w:pPr>
          </w:p>
          <w:sdt>
            <w:sdtPr>
              <w:rPr>
                <w:rFonts w:ascii="Arial" w:eastAsiaTheme="minorHAnsi" w:hAnsi="Arial" w:cs="Arial"/>
                <w:color w:val="auto"/>
                <w:sz w:val="24"/>
                <w:szCs w:val="24"/>
              </w:rPr>
              <w:id w:val="1966691831"/>
              <w:docPartObj>
                <w:docPartGallery w:val="Bibliographies"/>
                <w:docPartUnique/>
              </w:docPartObj>
            </w:sdtPr>
            <w:sdtContent>
              <w:p w:rsidR="00891461" w:rsidRPr="00041A83" w:rsidRDefault="00891461" w:rsidP="00891461">
                <w:pPr>
                  <w:pStyle w:val="Heading1"/>
                  <w:spacing w:line="360" w:lineRule="auto"/>
                  <w:jc w:val="both"/>
                  <w:outlineLvl w:val="0"/>
                  <w:rPr>
                    <w:rFonts w:ascii="Arial" w:eastAsiaTheme="minorHAnsi" w:hAnsi="Arial" w:cs="Arial"/>
                    <w:b/>
                    <w:color w:val="auto"/>
                    <w:sz w:val="24"/>
                    <w:szCs w:val="24"/>
                  </w:rPr>
                </w:pPr>
                <w:r w:rsidRPr="00041A83">
                  <w:rPr>
                    <w:rFonts w:ascii="Arial" w:eastAsiaTheme="minorHAnsi" w:hAnsi="Arial" w:cs="Arial"/>
                    <w:b/>
                    <w:color w:val="auto"/>
                    <w:sz w:val="24"/>
                    <w:szCs w:val="24"/>
                  </w:rPr>
                  <w:t>References</w:t>
                </w:r>
              </w:p>
              <w:sdt>
                <w:sdtPr>
                  <w:rPr>
                    <w:rFonts w:ascii="Arial" w:hAnsi="Arial" w:cs="Arial"/>
                    <w:sz w:val="24"/>
                    <w:szCs w:val="24"/>
                  </w:rPr>
                  <w:id w:val="-573587230"/>
                  <w:bibliography/>
                </w:sdtPr>
                <w:sdtContent>
                  <w:p w:rsidR="00891461" w:rsidRPr="00041A83" w:rsidRDefault="00891461" w:rsidP="00891461">
                    <w:pPr>
                      <w:pStyle w:val="Bibliography"/>
                      <w:spacing w:line="360" w:lineRule="auto"/>
                      <w:rPr>
                        <w:rFonts w:ascii="Arial" w:hAnsi="Arial" w:cs="Arial"/>
                        <w:sz w:val="24"/>
                        <w:szCs w:val="24"/>
                      </w:rPr>
                    </w:pPr>
                    <w:r w:rsidRPr="00041A83">
                      <w:rPr>
                        <w:rFonts w:ascii="Arial" w:hAnsi="Arial" w:cs="Arial"/>
                        <w:sz w:val="24"/>
                        <w:szCs w:val="24"/>
                      </w:rPr>
                      <w:fldChar w:fldCharType="begin"/>
                    </w:r>
                    <w:r w:rsidRPr="00041A83">
                      <w:rPr>
                        <w:rFonts w:ascii="Arial" w:hAnsi="Arial" w:cs="Arial"/>
                        <w:sz w:val="24"/>
                        <w:szCs w:val="24"/>
                      </w:rPr>
                      <w:instrText xml:space="preserve"> BIBLIOGRAPHY </w:instrText>
                    </w:r>
                    <w:r w:rsidRPr="00041A83">
                      <w:rPr>
                        <w:rFonts w:ascii="Arial" w:hAnsi="Arial" w:cs="Arial"/>
                        <w:sz w:val="24"/>
                        <w:szCs w:val="24"/>
                      </w:rPr>
                      <w:fldChar w:fldCharType="separate"/>
                    </w:r>
                    <w:r w:rsidRPr="00041A83">
                      <w:rPr>
                        <w:rFonts w:ascii="Arial" w:hAnsi="Arial" w:cs="Arial"/>
                        <w:sz w:val="24"/>
                        <w:szCs w:val="24"/>
                      </w:rPr>
                      <w:t>ACFE, 2015. Fraud Examiner's Manual. Texas: Association of Certified Fraud Examiners.</w:t>
                    </w:r>
                  </w:p>
                  <w:p w:rsidR="00891461" w:rsidRPr="00041A83" w:rsidRDefault="00891461" w:rsidP="00891461">
                    <w:pPr>
                      <w:pStyle w:val="Bibliography"/>
                      <w:spacing w:line="360" w:lineRule="auto"/>
                      <w:rPr>
                        <w:rFonts w:ascii="Arial" w:hAnsi="Arial" w:cs="Arial"/>
                        <w:sz w:val="24"/>
                        <w:szCs w:val="24"/>
                      </w:rPr>
                    </w:pPr>
                    <w:r w:rsidRPr="00041A83">
                      <w:rPr>
                        <w:rFonts w:ascii="Arial" w:hAnsi="Arial" w:cs="Arial"/>
                        <w:sz w:val="24"/>
                        <w:szCs w:val="24"/>
                      </w:rPr>
                      <w:t>Davis, C., Farrell, R. &amp; Ogilby, S., 2009. Characteristics and Skills of the Forensic Accountant, New York: AICPA.</w:t>
                    </w:r>
                  </w:p>
                  <w:p w:rsidR="00891461" w:rsidRPr="00041A83" w:rsidRDefault="00891461" w:rsidP="00891461">
                    <w:pPr>
                      <w:pStyle w:val="Bibliography"/>
                      <w:spacing w:line="360" w:lineRule="auto"/>
                      <w:rPr>
                        <w:rFonts w:ascii="Arial" w:hAnsi="Arial" w:cs="Arial"/>
                        <w:sz w:val="24"/>
                        <w:szCs w:val="24"/>
                      </w:rPr>
                    </w:pPr>
                    <w:r w:rsidRPr="00041A83">
                      <w:rPr>
                        <w:rFonts w:ascii="Arial" w:hAnsi="Arial" w:cs="Arial"/>
                        <w:sz w:val="24"/>
                        <w:szCs w:val="24"/>
                      </w:rPr>
                      <w:t>Singleton, T., Singleton, A., Bologna, J. &amp; Lindquist, R., 2006. Fraud Auditing and Forensic Accounting. 3rd ed. New Jersey: John Wiley and Sons.</w:t>
                    </w:r>
                  </w:p>
                  <w:p w:rsidR="00891461" w:rsidRPr="00041A83" w:rsidRDefault="00891461" w:rsidP="00891461">
                    <w:pPr>
                      <w:spacing w:line="360" w:lineRule="auto"/>
                      <w:jc w:val="both"/>
                      <w:rPr>
                        <w:rFonts w:ascii="Arial" w:hAnsi="Arial" w:cs="Arial"/>
                        <w:sz w:val="24"/>
                        <w:szCs w:val="24"/>
                      </w:rPr>
                    </w:pPr>
                    <w:r w:rsidRPr="00041A83">
                      <w:rPr>
                        <w:rFonts w:ascii="Arial" w:hAnsi="Arial" w:cs="Arial"/>
                        <w:sz w:val="24"/>
                        <w:szCs w:val="24"/>
                      </w:rPr>
                      <w:fldChar w:fldCharType="end"/>
                    </w:r>
                  </w:p>
                </w:sdtContent>
              </w:sdt>
            </w:sdtContent>
          </w:sdt>
          <w:p w:rsidR="00891461" w:rsidRPr="00CC2FB3" w:rsidRDefault="00891461" w:rsidP="00A851DA">
            <w:pPr>
              <w:rPr>
                <w:rFonts w:ascii="Arial" w:hAnsi="Arial" w:cs="Arial"/>
                <w:sz w:val="24"/>
                <w:szCs w:val="24"/>
              </w:rPr>
            </w:pPr>
          </w:p>
          <w:p w:rsidR="00CC2FB3" w:rsidRDefault="00CC2FB3" w:rsidP="00A851DA">
            <w:pPr>
              <w:rPr>
                <w:b/>
              </w:rPr>
            </w:pPr>
          </w:p>
          <w:p w:rsidR="00891461" w:rsidRDefault="00891461" w:rsidP="00A851DA">
            <w:pPr>
              <w:rPr>
                <w:b/>
              </w:rPr>
            </w:pPr>
          </w:p>
          <w:p w:rsidR="00891461" w:rsidRDefault="00891461"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21"/>
        <w:gridCol w:w="1247"/>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891461" w:rsidP="00A851DA">
            <w:pPr>
              <w:rPr>
                <w:rFonts w:cs="Bliss-Regular"/>
                <w:color w:val="000000"/>
              </w:rPr>
            </w:pPr>
            <w:r>
              <w:rPr>
                <w:rFonts w:cs="Bliss-Regular"/>
                <w:color w:val="000000"/>
              </w:rPr>
              <w:t>Aleck Mandivengerei</w:t>
            </w:r>
          </w:p>
          <w:p w:rsidR="00BD101E" w:rsidRPr="00B0415E" w:rsidRDefault="00BD101E"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1461" w:rsidP="00A851DA">
            <w:pPr>
              <w:rPr>
                <w:rFonts w:cs="Bliss-Regular"/>
                <w:color w:val="000000"/>
              </w:rPr>
            </w:pPr>
            <w:r>
              <w:rPr>
                <w:rFonts w:cs="Bliss-Regular"/>
                <w:color w:val="000000"/>
              </w:rPr>
              <w:t>01/03/16</w:t>
            </w:r>
            <w:bookmarkStart w:id="0" w:name="_GoBack"/>
            <w:bookmarkEnd w:id="0"/>
          </w:p>
        </w:tc>
      </w:tr>
    </w:tbl>
    <w:p w:rsidR="00A851DA" w:rsidRPr="00B0415E" w:rsidRDefault="00A851DA" w:rsidP="00A851DA">
      <w:pPr>
        <w:rPr>
          <w:rFonts w:cs="Bliss-Regular"/>
          <w:color w:val="000000"/>
          <w:lang w:val="en-US"/>
        </w:rPr>
      </w:pPr>
    </w:p>
    <w:p w:rsidR="00A851DA" w:rsidRPr="00B0415E" w:rsidRDefault="00503D7E" w:rsidP="00BD101E">
      <w:pPr>
        <w:shd w:val="clear" w:color="auto" w:fill="D9D9D9" w:themeFill="background1" w:themeFillShade="D9"/>
        <w:ind w:left="-9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BD101E">
      <w:pgSz w:w="11906" w:h="16838"/>
      <w:pgMar w:top="72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A62" w:rsidRDefault="00A42A62" w:rsidP="00CB4D0A">
      <w:pPr>
        <w:spacing w:after="0" w:line="240" w:lineRule="auto"/>
      </w:pPr>
      <w:r>
        <w:separator/>
      </w:r>
    </w:p>
  </w:endnote>
  <w:endnote w:type="continuationSeparator" w:id="0">
    <w:p w:rsidR="00A42A62" w:rsidRDefault="00A42A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A62" w:rsidRDefault="00A42A62" w:rsidP="00CB4D0A">
      <w:pPr>
        <w:spacing w:after="0" w:line="240" w:lineRule="auto"/>
      </w:pPr>
      <w:r>
        <w:separator/>
      </w:r>
    </w:p>
  </w:footnote>
  <w:footnote w:type="continuationSeparator" w:id="0">
    <w:p w:rsidR="00A42A62" w:rsidRDefault="00A42A6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22C1"/>
    <w:multiLevelType w:val="hybridMultilevel"/>
    <w:tmpl w:val="0E925018"/>
    <w:lvl w:ilvl="0" w:tplc="0AF0F00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11C72C66"/>
    <w:multiLevelType w:val="hybridMultilevel"/>
    <w:tmpl w:val="376A4674"/>
    <w:lvl w:ilvl="0" w:tplc="FC30685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203C6752"/>
    <w:multiLevelType w:val="hybridMultilevel"/>
    <w:tmpl w:val="387C7B36"/>
    <w:lvl w:ilvl="0" w:tplc="6438235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6E5E9A"/>
    <w:multiLevelType w:val="hybridMultilevel"/>
    <w:tmpl w:val="0CE61002"/>
    <w:lvl w:ilvl="0" w:tplc="12B2BCB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78477F7C"/>
    <w:multiLevelType w:val="hybridMultilevel"/>
    <w:tmpl w:val="02783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21C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1461"/>
    <w:rsid w:val="008A60B4"/>
    <w:rsid w:val="008B3C31"/>
    <w:rsid w:val="008B64FE"/>
    <w:rsid w:val="00935BF7"/>
    <w:rsid w:val="0095442C"/>
    <w:rsid w:val="00983942"/>
    <w:rsid w:val="009C37E0"/>
    <w:rsid w:val="009E41F4"/>
    <w:rsid w:val="00A14B66"/>
    <w:rsid w:val="00A42A62"/>
    <w:rsid w:val="00A65CF7"/>
    <w:rsid w:val="00A81AB4"/>
    <w:rsid w:val="00A851DA"/>
    <w:rsid w:val="00AC7D5B"/>
    <w:rsid w:val="00AE1481"/>
    <w:rsid w:val="00B0415E"/>
    <w:rsid w:val="00B04678"/>
    <w:rsid w:val="00BC46DF"/>
    <w:rsid w:val="00BD101E"/>
    <w:rsid w:val="00BF6E1B"/>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BD5B9"/>
  <w15:docId w15:val="{44AF02C4-72DF-4BCD-B72A-3279294A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89146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91461"/>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891461"/>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49408-A9DA-4BFC-A66E-9AEF5D663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2448</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3</cp:revision>
  <dcterms:created xsi:type="dcterms:W3CDTF">2016-03-01T11:38:00Z</dcterms:created>
  <dcterms:modified xsi:type="dcterms:W3CDTF">2016-03-01T11:45:00Z</dcterms:modified>
</cp:coreProperties>
</file>