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31E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183">
            <w:pPr>
              <w:pStyle w:val="Default"/>
              <w:rPr>
                <w:rFonts w:asciiTheme="minorHAnsi" w:hAnsiTheme="minorHAnsi"/>
              </w:rPr>
            </w:pPr>
            <w:r>
              <w:rPr>
                <w:rFonts w:asciiTheme="minorHAnsi" w:hAnsiTheme="minorHAnsi"/>
              </w:rPr>
              <w:t>Ronald Kumbirai Masara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5183">
            <w:pPr>
              <w:pStyle w:val="Default"/>
              <w:rPr>
                <w:rFonts w:asciiTheme="minorHAnsi" w:hAnsiTheme="minorHAnsi"/>
              </w:rPr>
            </w:pPr>
            <w:r>
              <w:rPr>
                <w:rFonts w:asciiTheme="minorHAnsi" w:hAnsiTheme="minorHAnsi"/>
              </w:rPr>
              <w:t>1496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183">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18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35183" w:rsidRPr="009A124C" w:rsidRDefault="00C35183" w:rsidP="00C35183">
            <w:pPr>
              <w:pStyle w:val="NoSpacing"/>
              <w:numPr>
                <w:ilvl w:val="0"/>
                <w:numId w:val="2"/>
              </w:numPr>
              <w:rPr>
                <w:rFonts w:cs="Arial"/>
                <w:sz w:val="20"/>
                <w:szCs w:val="20"/>
              </w:rPr>
            </w:pPr>
            <w:r w:rsidRPr="009A124C">
              <w:rPr>
                <w:rFonts w:cs="Arial"/>
                <w:sz w:val="20"/>
                <w:szCs w:val="20"/>
              </w:rPr>
              <w:t>i) A financial crime is any non-violent offense that is committed by or against an individual or corporation and results in a financial loss. When a financial institution is involved, the crime is referred to as a financial sector crime. Tax evasion, embezzlement of company funds, and the sale of fictitious insurance plans are just a few examples of financial crimes, while money laundering, credit card fraud, and check fraud are all instances of financial sector crimes. Most white collar crimes are classified as financial or financial sector crimes.</w:t>
            </w:r>
          </w:p>
          <w:p w:rsidR="00C35183" w:rsidRPr="009A124C" w:rsidRDefault="00C35183" w:rsidP="00C35183">
            <w:pPr>
              <w:pStyle w:val="NoSpacing"/>
              <w:ind w:left="720"/>
              <w:rPr>
                <w:rFonts w:cs="Arial"/>
                <w:sz w:val="20"/>
                <w:szCs w:val="20"/>
              </w:rPr>
            </w:pPr>
          </w:p>
          <w:p w:rsidR="00C35183" w:rsidRPr="009A124C" w:rsidRDefault="00C35183" w:rsidP="00C35183">
            <w:pPr>
              <w:pStyle w:val="NoSpacing"/>
              <w:ind w:left="720"/>
              <w:rPr>
                <w:rFonts w:cs="Arial"/>
                <w:sz w:val="20"/>
                <w:szCs w:val="20"/>
              </w:rPr>
            </w:pPr>
            <w:r w:rsidRPr="009A124C">
              <w:rPr>
                <w:rFonts w:cs="Arial"/>
                <w:sz w:val="20"/>
                <w:szCs w:val="20"/>
              </w:rPr>
              <w:t xml:space="preserve">While most people agree that crime or the perception of crime has a negative impact on economic development the difficulty comes in trying to quantify that effect. According to Detotto and Otranto (2010), crime acts like a tax on the entire economy, it discourages domestic and foreign direct investments. </w:t>
            </w:r>
          </w:p>
          <w:p w:rsidR="00C35183" w:rsidRPr="009A124C" w:rsidRDefault="00C35183" w:rsidP="00C35183">
            <w:pPr>
              <w:pStyle w:val="NoSpacing"/>
              <w:ind w:left="720"/>
              <w:rPr>
                <w:rFonts w:cs="Arial"/>
                <w:sz w:val="20"/>
                <w:szCs w:val="20"/>
              </w:rPr>
            </w:pPr>
            <w:r w:rsidRPr="009A124C">
              <w:rPr>
                <w:rFonts w:cs="Arial"/>
                <w:sz w:val="20"/>
                <w:szCs w:val="20"/>
              </w:rPr>
              <w:t>On a macro-economic level crime influences economic growth, income, labour force participation, income spent on security measure and reallocation of resources and creating uncertainty and inefficiency.</w:t>
            </w:r>
          </w:p>
          <w:p w:rsidR="00C35183" w:rsidRPr="009A124C" w:rsidRDefault="00C35183" w:rsidP="00C35183">
            <w:pPr>
              <w:pStyle w:val="NoSpacing"/>
              <w:ind w:left="720"/>
              <w:rPr>
                <w:rFonts w:cs="Arial"/>
                <w:sz w:val="20"/>
                <w:szCs w:val="20"/>
              </w:rPr>
            </w:pPr>
            <w:r w:rsidRPr="009A124C">
              <w:rPr>
                <w:rFonts w:cs="Arial"/>
                <w:sz w:val="20"/>
                <w:szCs w:val="20"/>
              </w:rPr>
              <w:t>On a more local and regional level, economists define the following types of impact: business impact (crime reduces competitiveness of companies and investments), tourism impact, impact on quality of life/social capital and impact on property value.</w:t>
            </w:r>
          </w:p>
          <w:p w:rsidR="00C35183" w:rsidRPr="009A124C" w:rsidRDefault="00C35183" w:rsidP="00C35183">
            <w:pPr>
              <w:pStyle w:val="NoSpacing"/>
              <w:ind w:left="720"/>
              <w:rPr>
                <w:rFonts w:cs="Arial"/>
                <w:sz w:val="20"/>
                <w:szCs w:val="20"/>
              </w:rPr>
            </w:pPr>
          </w:p>
          <w:p w:rsidR="00C35183" w:rsidRPr="009A124C" w:rsidRDefault="00C35183" w:rsidP="00C35183">
            <w:pPr>
              <w:pStyle w:val="NoSpacing"/>
              <w:ind w:left="720"/>
              <w:rPr>
                <w:rFonts w:cs="Arial"/>
                <w:sz w:val="20"/>
                <w:szCs w:val="20"/>
              </w:rPr>
            </w:pPr>
            <w:r w:rsidRPr="009A124C">
              <w:rPr>
                <w:rFonts w:cs="Arial"/>
                <w:sz w:val="20"/>
                <w:szCs w:val="20"/>
              </w:rPr>
              <w:t>ii) Crime is a major part of every society. Its costs and effects just about everyone to some degree. These types of cost and effects are widely varied. In addition, some cost are short term while others last a lifetime.</w:t>
            </w:r>
          </w:p>
          <w:p w:rsidR="00C35183" w:rsidRPr="009A124C" w:rsidRDefault="00C35183" w:rsidP="00C35183">
            <w:pPr>
              <w:pStyle w:val="NoSpacing"/>
              <w:ind w:left="720"/>
              <w:rPr>
                <w:rFonts w:cs="Arial"/>
                <w:sz w:val="20"/>
                <w:szCs w:val="20"/>
              </w:rPr>
            </w:pPr>
          </w:p>
          <w:p w:rsidR="00C35183" w:rsidRPr="009A124C" w:rsidRDefault="00C35183" w:rsidP="00C35183">
            <w:pPr>
              <w:pStyle w:val="NoSpacing"/>
              <w:ind w:left="720"/>
              <w:rPr>
                <w:rFonts w:cs="Arial"/>
                <w:sz w:val="20"/>
                <w:szCs w:val="20"/>
              </w:rPr>
            </w:pPr>
            <w:r w:rsidRPr="009A124C">
              <w:rPr>
                <w:rFonts w:cs="Arial"/>
                <w:sz w:val="20"/>
                <w:szCs w:val="20"/>
              </w:rPr>
              <w:t xml:space="preserve">The costs of crime to the economy can be direct or indirect. The rate of crime in a country can affect foreign investments shunning to invest in a high crime risk economy, for example from most cases , Nigeria tops as the most high rate of crime in and outside the country. Also issues of Tax Evasion has a huge impact on the economy as people evade paying tax thereby causing a huge deficit in the government’s budget/planned expenditures. </w:t>
            </w:r>
          </w:p>
          <w:p w:rsidR="00C35183" w:rsidRPr="009A124C" w:rsidRDefault="00C35183" w:rsidP="00C35183">
            <w:pPr>
              <w:pStyle w:val="NoSpacing"/>
              <w:ind w:left="720"/>
              <w:rPr>
                <w:rFonts w:cs="Arial"/>
                <w:sz w:val="20"/>
                <w:szCs w:val="20"/>
              </w:rPr>
            </w:pPr>
          </w:p>
          <w:p w:rsidR="00C35183" w:rsidRPr="009A124C" w:rsidRDefault="00C35183" w:rsidP="00C35183">
            <w:pPr>
              <w:pStyle w:val="NoSpacing"/>
              <w:ind w:left="720"/>
              <w:rPr>
                <w:rFonts w:cs="Arial"/>
                <w:sz w:val="20"/>
                <w:szCs w:val="20"/>
              </w:rPr>
            </w:pPr>
            <w:r w:rsidRPr="009A124C">
              <w:rPr>
                <w:rFonts w:cs="Arial"/>
                <w:sz w:val="20"/>
                <w:szCs w:val="20"/>
              </w:rPr>
              <w:t xml:space="preserve">Taxpayer costs, also known as government costs, are a key consideration in the policymaking process. Decision makers want to know how much it will cost the government to implement criminal justice policies and programs, so it is critical that you estimate these costs accurately in a </w:t>
            </w:r>
            <w:r w:rsidRPr="009A124C">
              <w:rPr>
                <w:rFonts w:cs="Arial"/>
                <w:sz w:val="20"/>
                <w:szCs w:val="20"/>
              </w:rPr>
              <w:lastRenderedPageBreak/>
              <w:t>cost-benefit analysis (CBA). Taxpayers fund the operations of law enforcement, courts, and corrections, as well as a variety of criminal justice-related programs. Criminal justice involvement generally begins with arrest and, for some people, continues into the courts. Some individuals are detained in jail during court involvement. If an individual is determined to be guilty, he or she may receive a sentence to jail, prison, or probation.</w:t>
            </w:r>
          </w:p>
          <w:p w:rsidR="00C35183" w:rsidRPr="009A124C" w:rsidRDefault="00C35183" w:rsidP="00C35183">
            <w:pPr>
              <w:pStyle w:val="NoSpacing"/>
              <w:ind w:left="720"/>
              <w:rPr>
                <w:rFonts w:cs="Arial"/>
                <w:sz w:val="20"/>
                <w:szCs w:val="20"/>
              </w:rPr>
            </w:pPr>
            <w:r w:rsidRPr="009A124C">
              <w:rPr>
                <w:rFonts w:cs="Arial"/>
                <w:sz w:val="20"/>
                <w:szCs w:val="20"/>
              </w:rPr>
              <w:t>In some instances, calculating the taxpayer costs of a criminal justice initiative is simple. The taxpayer costs of a job-training program for inmates, for instance, can be determined by reviewing the program’s budget to determine the cost of operations.</w:t>
            </w:r>
          </w:p>
          <w:p w:rsidR="00C35183" w:rsidRPr="009A124C" w:rsidRDefault="00C35183" w:rsidP="00C35183">
            <w:pPr>
              <w:pStyle w:val="NoSpacing"/>
              <w:ind w:left="720"/>
              <w:rPr>
                <w:rFonts w:cs="Arial"/>
                <w:sz w:val="20"/>
                <w:szCs w:val="20"/>
              </w:rPr>
            </w:pPr>
          </w:p>
          <w:p w:rsidR="00C35183" w:rsidRPr="009A124C" w:rsidRDefault="00C35183" w:rsidP="00C35183">
            <w:pPr>
              <w:ind w:left="720"/>
              <w:rPr>
                <w:rFonts w:cs="Arial"/>
                <w:sz w:val="20"/>
                <w:szCs w:val="20"/>
              </w:rPr>
            </w:pPr>
            <w:r w:rsidRPr="009A124C">
              <w:rPr>
                <w:rFonts w:cs="Arial"/>
                <w:sz w:val="20"/>
                <w:szCs w:val="20"/>
              </w:rPr>
              <w:t>iii) Arson is the intentional burning of a structure, building, land or property.</w:t>
            </w:r>
            <w:r w:rsidRPr="009A124C">
              <w:rPr>
                <w:rFonts w:eastAsia="Times New Roman" w:cs="Arial"/>
                <w:sz w:val="20"/>
                <w:szCs w:val="20"/>
              </w:rPr>
              <w:t xml:space="preserve"> In some countries, the definition of the crime is expanded to include the burning of one’s own property if done for an improper purpose. Some acts of arson are motived by attempts to collect money through false homeowner’s insurance claims. Arson can also be defined under common law or modern day law which states that </w:t>
            </w:r>
            <w:r w:rsidRPr="009A124C">
              <w:rPr>
                <w:rFonts w:cs="Arial"/>
                <w:sz w:val="20"/>
                <w:szCs w:val="20"/>
              </w:rPr>
              <w:t>Common law arson was defined as the malicious burning of the dwelling of another, Modern day arson laws are much broader and include the burning of buildings, land, and any property including motor vehicles, boats and even clothing.</w:t>
            </w:r>
          </w:p>
          <w:p w:rsidR="00C35183" w:rsidRPr="009A124C" w:rsidRDefault="00C35183" w:rsidP="00C35183">
            <w:pPr>
              <w:ind w:left="720"/>
              <w:rPr>
                <w:rFonts w:cs="Arial"/>
                <w:sz w:val="20"/>
                <w:szCs w:val="20"/>
              </w:rPr>
            </w:pPr>
            <w:r w:rsidRPr="009A124C">
              <w:rPr>
                <w:rFonts w:cs="Arial"/>
                <w:sz w:val="20"/>
                <w:szCs w:val="20"/>
              </w:rPr>
              <w:t xml:space="preserve">Under common law only personal property that was physically attached to the dwelling was protected by the law. Other items, such as furniture inside the dwelling were not covered. Today, most arson laws cover any type of property, whether it is affixed to a structure or not. Also under common law </w:t>
            </w:r>
            <w:hyperlink r:id="rId9" w:history="1">
              <w:r w:rsidRPr="00C35183">
                <w:rPr>
                  <w:rStyle w:val="Hyperlink"/>
                  <w:rFonts w:cs="Arial"/>
                  <w:color w:val="000000" w:themeColor="text1"/>
                  <w:sz w:val="20"/>
                  <w:szCs w:val="20"/>
                  <w:u w:val="none"/>
                </w:rPr>
                <w:t>malicious intent</w:t>
              </w:r>
            </w:hyperlink>
            <w:r w:rsidRPr="009A124C">
              <w:rPr>
                <w:rFonts w:cs="Arial"/>
                <w:sz w:val="20"/>
                <w:szCs w:val="20"/>
              </w:rPr>
              <w:t xml:space="preserve"> had to be proven in order for a person to be found guilty of arson. If a person set fire to their own property they were safe under common law. Arson only applied to people who burned someone else's property. In modern law, you can be charged with arson if you set fire to your own property for fraudulent reasons, such as insurance fraud, or the fire spreads and causes damages to another person's property.</w:t>
            </w:r>
          </w:p>
          <w:p w:rsidR="00C35183" w:rsidRPr="009A124C" w:rsidRDefault="00C35183" w:rsidP="00C35183">
            <w:pPr>
              <w:ind w:left="720"/>
              <w:rPr>
                <w:rFonts w:cs="Arial"/>
                <w:sz w:val="20"/>
                <w:szCs w:val="20"/>
              </w:rPr>
            </w:pPr>
            <w:r w:rsidRPr="009A124C">
              <w:rPr>
                <w:rFonts w:cs="Arial"/>
                <w:sz w:val="20"/>
                <w:szCs w:val="20"/>
              </w:rPr>
              <w:t>iv) Money laundering is the concealment of the origins of illegally obtained money from specified unlawful activities, typically by means of transfers involving foreign banks or legitimate businesses. Money laundering generally involves a series of multiple transactions used to disguise the source of financial assets so that those assets may be used without compromising the criminals who are seeking to use them. These transactions typically fall into three stages as illustrated with the diagram below:</w:t>
            </w:r>
          </w:p>
          <w:p w:rsidR="00C35183" w:rsidRPr="009A124C" w:rsidRDefault="00C35183" w:rsidP="00C35183">
            <w:pPr>
              <w:ind w:left="720"/>
              <w:rPr>
                <w:sz w:val="20"/>
                <w:szCs w:val="20"/>
              </w:rPr>
            </w:pPr>
            <w:r w:rsidRPr="009A124C">
              <w:rPr>
                <w:sz w:val="20"/>
                <w:szCs w:val="20"/>
              </w:rPr>
              <w:t xml:space="preserve">                         </w:t>
            </w:r>
            <w:r w:rsidRPr="009A124C">
              <w:rPr>
                <w:noProof/>
                <w:sz w:val="20"/>
                <w:szCs w:val="20"/>
              </w:rPr>
              <w:drawing>
                <wp:inline distT="0" distB="0" distL="0" distR="0" wp14:anchorId="4D81C501" wp14:editId="066F9973">
                  <wp:extent cx="4333875" cy="2171700"/>
                  <wp:effectExtent l="0" t="0" r="9525" b="0"/>
                  <wp:docPr id="13" name="Picture 13" descr="https://upload.wikimedia.org/wikipedia/commons/thumb/c/c2/Money-laundering.svg/443px-Money-laundering.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c/c2/Money-laundering.svg/443px-Money-laundering.sv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3875" cy="2171700"/>
                          </a:xfrm>
                          <a:prstGeom prst="rect">
                            <a:avLst/>
                          </a:prstGeom>
                          <a:noFill/>
                          <a:ln>
                            <a:noFill/>
                          </a:ln>
                        </pic:spPr>
                      </pic:pic>
                    </a:graphicData>
                  </a:graphic>
                </wp:inline>
              </w:drawing>
            </w:r>
          </w:p>
          <w:p w:rsidR="00C35183" w:rsidRPr="009A124C" w:rsidRDefault="00C35183" w:rsidP="00C35183">
            <w:pPr>
              <w:ind w:left="720"/>
              <w:rPr>
                <w:rStyle w:val="hvr"/>
                <w:rFonts w:cs="Arial"/>
                <w:sz w:val="20"/>
                <w:szCs w:val="20"/>
              </w:rPr>
            </w:pPr>
            <w:r w:rsidRPr="009A124C">
              <w:rPr>
                <w:rFonts w:cs="Arial"/>
                <w:sz w:val="20"/>
                <w:szCs w:val="20"/>
              </w:rPr>
              <w:t xml:space="preserve">Placement: is the introduction of the dirty money into the global financial system. It is the starting point of all money laundering activities and because of the volume of funds involved, it is often the most difficult stage. It is at this stage that the form of funds must be converted to hide their illegal origin. To </w:t>
            </w:r>
            <w:r w:rsidRPr="009A124C">
              <w:rPr>
                <w:rStyle w:val="hvr"/>
                <w:rFonts w:cs="Arial"/>
                <w:sz w:val="20"/>
                <w:szCs w:val="20"/>
              </w:rPr>
              <w:t>disguise</w:t>
            </w:r>
            <w:r w:rsidRPr="009A124C">
              <w:rPr>
                <w:rFonts w:cs="Arial"/>
                <w:sz w:val="20"/>
                <w:szCs w:val="20"/>
              </w:rPr>
              <w:t xml:space="preserve"> </w:t>
            </w:r>
            <w:r w:rsidRPr="009A124C">
              <w:rPr>
                <w:rStyle w:val="hvr"/>
                <w:rFonts w:cs="Arial"/>
                <w:sz w:val="20"/>
                <w:szCs w:val="20"/>
              </w:rPr>
              <w:t>criminal</w:t>
            </w:r>
            <w:r w:rsidRPr="009A124C">
              <w:rPr>
                <w:rFonts w:cs="Arial"/>
                <w:sz w:val="20"/>
                <w:szCs w:val="20"/>
              </w:rPr>
              <w:t xml:space="preserve"> </w:t>
            </w:r>
            <w:r w:rsidRPr="009A124C">
              <w:rPr>
                <w:rStyle w:val="hvr"/>
                <w:rFonts w:cs="Arial"/>
                <w:sz w:val="20"/>
                <w:szCs w:val="20"/>
              </w:rPr>
              <w:t>activity,</w:t>
            </w:r>
            <w:r w:rsidRPr="009A124C">
              <w:rPr>
                <w:rFonts w:cs="Arial"/>
                <w:sz w:val="20"/>
                <w:szCs w:val="20"/>
              </w:rPr>
              <w:t xml:space="preserve"> </w:t>
            </w:r>
            <w:r w:rsidRPr="009A124C">
              <w:rPr>
                <w:rStyle w:val="hvr"/>
                <w:rFonts w:cs="Arial"/>
                <w:sz w:val="20"/>
                <w:szCs w:val="20"/>
              </w:rPr>
              <w:t>launderers</w:t>
            </w:r>
            <w:r w:rsidRPr="009A124C">
              <w:rPr>
                <w:rFonts w:cs="Arial"/>
                <w:sz w:val="20"/>
                <w:szCs w:val="20"/>
              </w:rPr>
              <w:t xml:space="preserve"> </w:t>
            </w:r>
            <w:r w:rsidRPr="009A124C">
              <w:rPr>
                <w:rStyle w:val="hvr"/>
                <w:rFonts w:cs="Arial"/>
                <w:sz w:val="20"/>
                <w:szCs w:val="20"/>
              </w:rPr>
              <w:t>route</w:t>
            </w:r>
            <w:r w:rsidRPr="009A124C">
              <w:rPr>
                <w:rFonts w:cs="Arial"/>
                <w:sz w:val="20"/>
                <w:szCs w:val="20"/>
              </w:rPr>
              <w:t xml:space="preserve"> </w:t>
            </w:r>
            <w:r w:rsidRPr="009A124C">
              <w:rPr>
                <w:rStyle w:val="hvr"/>
                <w:rFonts w:cs="Arial"/>
                <w:sz w:val="20"/>
                <w:szCs w:val="20"/>
              </w:rPr>
              <w:t>cash</w:t>
            </w:r>
            <w:r w:rsidRPr="009A124C">
              <w:rPr>
                <w:rFonts w:cs="Arial"/>
                <w:sz w:val="20"/>
                <w:szCs w:val="20"/>
              </w:rPr>
              <w:t xml:space="preserve"> </w:t>
            </w:r>
            <w:r w:rsidRPr="009A124C">
              <w:rPr>
                <w:rStyle w:val="hvr"/>
                <w:rFonts w:cs="Arial"/>
                <w:sz w:val="20"/>
                <w:szCs w:val="20"/>
              </w:rPr>
              <w:t>through</w:t>
            </w:r>
            <w:r w:rsidRPr="009A124C">
              <w:rPr>
                <w:rFonts w:cs="Arial"/>
                <w:sz w:val="20"/>
                <w:szCs w:val="20"/>
              </w:rPr>
              <w:t xml:space="preserve"> a </w:t>
            </w:r>
            <w:r w:rsidRPr="009A124C">
              <w:rPr>
                <w:rStyle w:val="hvr"/>
                <w:rFonts w:cs="Arial"/>
                <w:sz w:val="20"/>
                <w:szCs w:val="20"/>
              </w:rPr>
              <w:t>"front"</w:t>
            </w:r>
            <w:r w:rsidRPr="009A124C">
              <w:rPr>
                <w:rFonts w:cs="Arial"/>
                <w:sz w:val="20"/>
                <w:szCs w:val="20"/>
              </w:rPr>
              <w:t xml:space="preserve"> </w:t>
            </w:r>
            <w:r w:rsidRPr="009A124C">
              <w:rPr>
                <w:rStyle w:val="hvr"/>
                <w:rFonts w:cs="Arial"/>
                <w:sz w:val="20"/>
                <w:szCs w:val="20"/>
              </w:rPr>
              <w:t>operation;</w:t>
            </w:r>
            <w:r w:rsidRPr="009A124C">
              <w:rPr>
                <w:rFonts w:cs="Arial"/>
                <w:sz w:val="20"/>
                <w:szCs w:val="20"/>
              </w:rPr>
              <w:t xml:space="preserve"> </w:t>
            </w:r>
            <w:r w:rsidRPr="009A124C">
              <w:rPr>
                <w:rStyle w:val="hvr"/>
                <w:rFonts w:cs="Arial"/>
                <w:sz w:val="20"/>
                <w:szCs w:val="20"/>
              </w:rPr>
              <w:t>that</w:t>
            </w:r>
            <w:r w:rsidRPr="009A124C">
              <w:rPr>
                <w:rFonts w:cs="Arial"/>
                <w:sz w:val="20"/>
                <w:szCs w:val="20"/>
              </w:rPr>
              <w:t xml:space="preserve"> </w:t>
            </w:r>
            <w:r w:rsidRPr="009A124C">
              <w:rPr>
                <w:rStyle w:val="hvr"/>
                <w:rFonts w:cs="Arial"/>
                <w:sz w:val="20"/>
                <w:szCs w:val="20"/>
              </w:rPr>
              <w:t>is,</w:t>
            </w:r>
            <w:r w:rsidRPr="009A124C">
              <w:rPr>
                <w:rFonts w:cs="Arial"/>
                <w:sz w:val="20"/>
                <w:szCs w:val="20"/>
              </w:rPr>
              <w:t xml:space="preserve"> a </w:t>
            </w:r>
            <w:r w:rsidRPr="009A124C">
              <w:rPr>
                <w:rStyle w:val="hvr"/>
                <w:rFonts w:cs="Arial"/>
                <w:sz w:val="20"/>
                <w:szCs w:val="20"/>
              </w:rPr>
              <w:t>business</w:t>
            </w:r>
            <w:r w:rsidRPr="009A124C">
              <w:rPr>
                <w:rFonts w:cs="Arial"/>
                <w:sz w:val="20"/>
                <w:szCs w:val="20"/>
              </w:rPr>
              <w:t xml:space="preserve"> </w:t>
            </w:r>
            <w:r w:rsidRPr="009A124C">
              <w:rPr>
                <w:rStyle w:val="hvr"/>
                <w:rFonts w:cs="Arial"/>
                <w:sz w:val="20"/>
                <w:szCs w:val="20"/>
              </w:rPr>
              <w:t>such</w:t>
            </w:r>
            <w:r w:rsidRPr="009A124C">
              <w:rPr>
                <w:rFonts w:cs="Arial"/>
                <w:sz w:val="20"/>
                <w:szCs w:val="20"/>
              </w:rPr>
              <w:t xml:space="preserve"> as a </w:t>
            </w:r>
            <w:r w:rsidRPr="009A124C">
              <w:rPr>
                <w:rStyle w:val="hvr"/>
                <w:rFonts w:cs="Arial"/>
                <w:sz w:val="20"/>
                <w:szCs w:val="20"/>
              </w:rPr>
              <w:t>check-cashing</w:t>
            </w:r>
            <w:r w:rsidRPr="009A124C">
              <w:rPr>
                <w:rFonts w:cs="Arial"/>
                <w:sz w:val="20"/>
                <w:szCs w:val="20"/>
              </w:rPr>
              <w:t xml:space="preserve"> </w:t>
            </w:r>
            <w:r w:rsidRPr="009A124C">
              <w:rPr>
                <w:rStyle w:val="hvr"/>
                <w:rFonts w:cs="Arial"/>
                <w:sz w:val="20"/>
                <w:szCs w:val="20"/>
              </w:rPr>
              <w:t>service</w:t>
            </w:r>
            <w:r w:rsidRPr="009A124C">
              <w:rPr>
                <w:rFonts w:cs="Arial"/>
                <w:sz w:val="20"/>
                <w:szCs w:val="20"/>
              </w:rPr>
              <w:t xml:space="preserve"> or a </w:t>
            </w:r>
            <w:r w:rsidRPr="009A124C">
              <w:rPr>
                <w:rStyle w:val="hvr"/>
                <w:rFonts w:cs="Arial"/>
                <w:sz w:val="20"/>
                <w:szCs w:val="20"/>
              </w:rPr>
              <w:t>jewelry</w:t>
            </w:r>
            <w:r w:rsidRPr="009A124C">
              <w:rPr>
                <w:rFonts w:cs="Arial"/>
                <w:sz w:val="20"/>
                <w:szCs w:val="20"/>
              </w:rPr>
              <w:t xml:space="preserve"> </w:t>
            </w:r>
            <w:r w:rsidRPr="009A124C">
              <w:rPr>
                <w:rStyle w:val="hvr"/>
                <w:rFonts w:cs="Arial"/>
                <w:sz w:val="20"/>
                <w:szCs w:val="20"/>
              </w:rPr>
              <w:t>store.</w:t>
            </w:r>
            <w:r w:rsidRPr="009A124C">
              <w:rPr>
                <w:rFonts w:cs="Arial"/>
                <w:sz w:val="20"/>
                <w:szCs w:val="20"/>
              </w:rPr>
              <w:t xml:space="preserve"> </w:t>
            </w:r>
            <w:r w:rsidRPr="009A124C">
              <w:rPr>
                <w:rStyle w:val="hvr"/>
                <w:rFonts w:cs="Arial"/>
                <w:sz w:val="20"/>
                <w:szCs w:val="20"/>
              </w:rPr>
              <w:t>Another</w:t>
            </w:r>
            <w:r w:rsidRPr="009A124C">
              <w:rPr>
                <w:rFonts w:cs="Arial"/>
                <w:sz w:val="20"/>
                <w:szCs w:val="20"/>
              </w:rPr>
              <w:t xml:space="preserve"> </w:t>
            </w:r>
            <w:r w:rsidRPr="009A124C">
              <w:rPr>
                <w:rStyle w:val="hvr"/>
                <w:rFonts w:cs="Arial"/>
                <w:sz w:val="20"/>
                <w:szCs w:val="20"/>
              </w:rPr>
              <w:t>option</w:t>
            </w:r>
            <w:r w:rsidRPr="009A124C">
              <w:rPr>
                <w:rFonts w:cs="Arial"/>
                <w:sz w:val="20"/>
                <w:szCs w:val="20"/>
              </w:rPr>
              <w:t xml:space="preserve"> is to </w:t>
            </w:r>
            <w:r w:rsidRPr="009A124C">
              <w:rPr>
                <w:rStyle w:val="hvr"/>
                <w:rFonts w:cs="Arial"/>
                <w:sz w:val="20"/>
                <w:szCs w:val="20"/>
              </w:rPr>
              <w:t>convert</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w:t>
            </w:r>
            <w:r w:rsidRPr="009A124C">
              <w:rPr>
                <w:rStyle w:val="hvr"/>
                <w:rFonts w:cs="Arial"/>
                <w:sz w:val="20"/>
                <w:szCs w:val="20"/>
              </w:rPr>
              <w:t>cash</w:t>
            </w:r>
            <w:r w:rsidRPr="009A124C">
              <w:rPr>
                <w:rFonts w:cs="Arial"/>
                <w:sz w:val="20"/>
                <w:szCs w:val="20"/>
              </w:rPr>
              <w:t xml:space="preserve"> </w:t>
            </w:r>
            <w:r w:rsidRPr="009A124C">
              <w:rPr>
                <w:rStyle w:val="hvr"/>
                <w:rFonts w:cs="Arial"/>
                <w:sz w:val="20"/>
                <w:szCs w:val="20"/>
              </w:rPr>
              <w:t>into</w:t>
            </w:r>
            <w:r w:rsidRPr="009A124C">
              <w:rPr>
                <w:rFonts w:cs="Arial"/>
                <w:sz w:val="20"/>
                <w:szCs w:val="20"/>
              </w:rPr>
              <w:t xml:space="preserve"> </w:t>
            </w:r>
            <w:r w:rsidRPr="009A124C">
              <w:rPr>
                <w:rStyle w:val="hvr"/>
                <w:rFonts w:cs="Arial"/>
                <w:sz w:val="20"/>
                <w:szCs w:val="20"/>
              </w:rPr>
              <w:t>negotiable</w:t>
            </w:r>
            <w:r w:rsidRPr="009A124C">
              <w:rPr>
                <w:rFonts w:cs="Arial"/>
                <w:sz w:val="20"/>
                <w:szCs w:val="20"/>
              </w:rPr>
              <w:t xml:space="preserve"> </w:t>
            </w:r>
            <w:r w:rsidRPr="009A124C">
              <w:rPr>
                <w:rStyle w:val="hvr"/>
                <w:rFonts w:cs="Arial"/>
                <w:sz w:val="20"/>
                <w:szCs w:val="20"/>
              </w:rPr>
              <w:t>instruments,</w:t>
            </w:r>
            <w:r w:rsidRPr="009A124C">
              <w:rPr>
                <w:rFonts w:cs="Arial"/>
                <w:sz w:val="20"/>
                <w:szCs w:val="20"/>
              </w:rPr>
              <w:t xml:space="preserve"> </w:t>
            </w:r>
            <w:r w:rsidRPr="009A124C">
              <w:rPr>
                <w:rStyle w:val="hvr"/>
                <w:rFonts w:cs="Arial"/>
                <w:sz w:val="20"/>
                <w:szCs w:val="20"/>
              </w:rPr>
              <w:t>such</w:t>
            </w:r>
            <w:r w:rsidRPr="009A124C">
              <w:rPr>
                <w:rFonts w:cs="Arial"/>
                <w:sz w:val="20"/>
                <w:szCs w:val="20"/>
              </w:rPr>
              <w:t xml:space="preserve"> as </w:t>
            </w:r>
            <w:r w:rsidRPr="009A124C">
              <w:rPr>
                <w:rStyle w:val="hvr"/>
                <w:rFonts w:cs="Arial"/>
                <w:sz w:val="20"/>
                <w:szCs w:val="20"/>
              </w:rPr>
              <w:t>cashier's</w:t>
            </w:r>
            <w:r w:rsidRPr="009A124C">
              <w:rPr>
                <w:rFonts w:cs="Arial"/>
                <w:sz w:val="20"/>
                <w:szCs w:val="20"/>
              </w:rPr>
              <w:t xml:space="preserve"> </w:t>
            </w:r>
            <w:r w:rsidRPr="009A124C">
              <w:rPr>
                <w:rStyle w:val="hvr"/>
                <w:rFonts w:cs="Arial"/>
                <w:sz w:val="20"/>
                <w:szCs w:val="20"/>
              </w:rPr>
              <w:t>checks,</w:t>
            </w:r>
            <w:r w:rsidRPr="009A124C">
              <w:rPr>
                <w:rFonts w:cs="Arial"/>
                <w:sz w:val="20"/>
                <w:szCs w:val="20"/>
              </w:rPr>
              <w:t xml:space="preserve"> </w:t>
            </w:r>
            <w:r w:rsidRPr="009A124C">
              <w:rPr>
                <w:rStyle w:val="hvr"/>
                <w:rFonts w:cs="Arial"/>
                <w:sz w:val="20"/>
                <w:szCs w:val="20"/>
              </w:rPr>
              <w:t>money</w:t>
            </w:r>
            <w:r w:rsidRPr="009A124C">
              <w:rPr>
                <w:rFonts w:cs="Arial"/>
                <w:sz w:val="20"/>
                <w:szCs w:val="20"/>
              </w:rPr>
              <w:t xml:space="preserve"> </w:t>
            </w:r>
            <w:r w:rsidRPr="009A124C">
              <w:rPr>
                <w:rStyle w:val="hvr"/>
                <w:rFonts w:cs="Arial"/>
                <w:sz w:val="20"/>
                <w:szCs w:val="20"/>
              </w:rPr>
              <w:t>orders,</w:t>
            </w:r>
            <w:r w:rsidRPr="009A124C">
              <w:rPr>
                <w:rFonts w:cs="Arial"/>
                <w:sz w:val="20"/>
                <w:szCs w:val="20"/>
              </w:rPr>
              <w:t xml:space="preserve"> or </w:t>
            </w:r>
            <w:r w:rsidRPr="009A124C">
              <w:rPr>
                <w:rStyle w:val="hvr"/>
                <w:rFonts w:cs="Arial"/>
                <w:sz w:val="20"/>
                <w:szCs w:val="20"/>
              </w:rPr>
              <w:t>traveler's</w:t>
            </w:r>
            <w:r w:rsidRPr="009A124C">
              <w:rPr>
                <w:rFonts w:cs="Arial"/>
                <w:sz w:val="20"/>
                <w:szCs w:val="20"/>
              </w:rPr>
              <w:t xml:space="preserve"> </w:t>
            </w:r>
            <w:r w:rsidRPr="009A124C">
              <w:rPr>
                <w:rStyle w:val="hvr"/>
                <w:rFonts w:cs="Arial"/>
                <w:sz w:val="20"/>
                <w:szCs w:val="20"/>
              </w:rPr>
              <w:t>checks.</w:t>
            </w:r>
          </w:p>
          <w:p w:rsidR="00C35183" w:rsidRPr="009A124C" w:rsidRDefault="00C35183" w:rsidP="00C35183">
            <w:pPr>
              <w:ind w:left="720"/>
              <w:rPr>
                <w:rStyle w:val="hvr"/>
                <w:rFonts w:cs="Arial"/>
                <w:sz w:val="20"/>
                <w:szCs w:val="20"/>
              </w:rPr>
            </w:pPr>
            <w:r w:rsidRPr="009A124C">
              <w:rPr>
                <w:rStyle w:val="hvr"/>
                <w:rFonts w:cs="Arial"/>
                <w:sz w:val="20"/>
                <w:szCs w:val="20"/>
              </w:rPr>
              <w:t xml:space="preserve">Layering: </w:t>
            </w:r>
            <w:r w:rsidRPr="009A124C">
              <w:rPr>
                <w:rFonts w:cs="Arial"/>
                <w:sz w:val="20"/>
                <w:szCs w:val="20"/>
              </w:rPr>
              <w:t xml:space="preserve"> </w:t>
            </w:r>
            <w:r w:rsidRPr="009A124C">
              <w:rPr>
                <w:rStyle w:val="hvr"/>
                <w:rFonts w:cs="Arial"/>
                <w:sz w:val="20"/>
                <w:szCs w:val="20"/>
              </w:rPr>
              <w:t>involves</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w:t>
            </w:r>
            <w:r w:rsidRPr="009A124C">
              <w:rPr>
                <w:rStyle w:val="hvr"/>
                <w:rFonts w:cs="Arial"/>
                <w:sz w:val="20"/>
                <w:szCs w:val="20"/>
              </w:rPr>
              <w:t>wire</w:t>
            </w:r>
            <w:r w:rsidRPr="009A124C">
              <w:rPr>
                <w:rFonts w:cs="Arial"/>
                <w:sz w:val="20"/>
                <w:szCs w:val="20"/>
              </w:rPr>
              <w:t xml:space="preserve"> </w:t>
            </w:r>
            <w:r w:rsidRPr="009A124C">
              <w:rPr>
                <w:rStyle w:val="hvr"/>
                <w:rFonts w:cs="Arial"/>
                <w:sz w:val="20"/>
                <w:szCs w:val="20"/>
              </w:rPr>
              <w:t>transfer</w:t>
            </w:r>
            <w:r w:rsidRPr="009A124C">
              <w:rPr>
                <w:rFonts w:cs="Arial"/>
                <w:sz w:val="20"/>
                <w:szCs w:val="20"/>
              </w:rPr>
              <w:t xml:space="preserve"> of </w:t>
            </w:r>
            <w:r w:rsidRPr="009A124C">
              <w:rPr>
                <w:rStyle w:val="hvr"/>
                <w:rFonts w:cs="Arial"/>
                <w:sz w:val="20"/>
                <w:szCs w:val="20"/>
              </w:rPr>
              <w:t>funds</w:t>
            </w:r>
            <w:r w:rsidRPr="009A124C">
              <w:rPr>
                <w:rFonts w:cs="Arial"/>
                <w:sz w:val="20"/>
                <w:szCs w:val="20"/>
              </w:rPr>
              <w:t xml:space="preserve"> </w:t>
            </w:r>
            <w:r w:rsidRPr="009A124C">
              <w:rPr>
                <w:rStyle w:val="hvr"/>
                <w:rFonts w:cs="Arial"/>
                <w:sz w:val="20"/>
                <w:szCs w:val="20"/>
              </w:rPr>
              <w:t>through</w:t>
            </w:r>
            <w:r w:rsidRPr="009A124C">
              <w:rPr>
                <w:rFonts w:cs="Arial"/>
                <w:sz w:val="20"/>
                <w:szCs w:val="20"/>
              </w:rPr>
              <w:t xml:space="preserve"> a </w:t>
            </w:r>
            <w:r w:rsidRPr="009A124C">
              <w:rPr>
                <w:rStyle w:val="hvr"/>
                <w:rFonts w:cs="Arial"/>
                <w:sz w:val="20"/>
                <w:szCs w:val="20"/>
              </w:rPr>
              <w:t>series</w:t>
            </w:r>
            <w:r w:rsidRPr="009A124C">
              <w:rPr>
                <w:rFonts w:cs="Arial"/>
                <w:sz w:val="20"/>
                <w:szCs w:val="20"/>
              </w:rPr>
              <w:t xml:space="preserve"> of </w:t>
            </w:r>
            <w:r w:rsidRPr="009A124C">
              <w:rPr>
                <w:rStyle w:val="hvr"/>
                <w:rFonts w:cs="Arial"/>
                <w:sz w:val="20"/>
                <w:szCs w:val="20"/>
              </w:rPr>
              <w:t>accounts</w:t>
            </w:r>
            <w:r w:rsidRPr="009A124C">
              <w:rPr>
                <w:rFonts w:cs="Arial"/>
                <w:sz w:val="20"/>
                <w:szCs w:val="20"/>
              </w:rPr>
              <w:t xml:space="preserve"> in an </w:t>
            </w:r>
            <w:r w:rsidRPr="009A124C">
              <w:rPr>
                <w:rStyle w:val="hvr"/>
                <w:rFonts w:cs="Arial"/>
                <w:sz w:val="20"/>
                <w:szCs w:val="20"/>
              </w:rPr>
              <w:t>attempt</w:t>
            </w:r>
            <w:r w:rsidRPr="009A124C">
              <w:rPr>
                <w:rFonts w:cs="Arial"/>
                <w:sz w:val="20"/>
                <w:szCs w:val="20"/>
              </w:rPr>
              <w:t xml:space="preserve"> to </w:t>
            </w:r>
            <w:r w:rsidRPr="009A124C">
              <w:rPr>
                <w:rStyle w:val="hvr"/>
                <w:rFonts w:cs="Arial"/>
                <w:sz w:val="20"/>
                <w:szCs w:val="20"/>
              </w:rPr>
              <w:t>hide</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w:t>
            </w:r>
            <w:r w:rsidRPr="009A124C">
              <w:rPr>
                <w:rStyle w:val="hvr"/>
                <w:rFonts w:cs="Arial"/>
                <w:sz w:val="20"/>
                <w:szCs w:val="20"/>
              </w:rPr>
              <w:t>funds'</w:t>
            </w:r>
            <w:r w:rsidRPr="009A124C">
              <w:rPr>
                <w:rFonts w:cs="Arial"/>
                <w:sz w:val="20"/>
                <w:szCs w:val="20"/>
              </w:rPr>
              <w:t xml:space="preserve"> </w:t>
            </w:r>
            <w:r w:rsidRPr="009A124C">
              <w:rPr>
                <w:rStyle w:val="hvr"/>
                <w:rFonts w:cs="Arial"/>
                <w:sz w:val="20"/>
                <w:szCs w:val="20"/>
              </w:rPr>
              <w:t>true</w:t>
            </w:r>
            <w:r w:rsidRPr="009A124C">
              <w:rPr>
                <w:rFonts w:cs="Arial"/>
                <w:sz w:val="20"/>
                <w:szCs w:val="20"/>
              </w:rPr>
              <w:t xml:space="preserve"> </w:t>
            </w:r>
            <w:r w:rsidRPr="009A124C">
              <w:rPr>
                <w:rStyle w:val="hvr"/>
                <w:rFonts w:cs="Arial"/>
                <w:sz w:val="20"/>
                <w:szCs w:val="20"/>
              </w:rPr>
              <w:t>origins.</w:t>
            </w:r>
            <w:r w:rsidRPr="009A124C">
              <w:rPr>
                <w:rFonts w:cs="Arial"/>
                <w:sz w:val="20"/>
                <w:szCs w:val="20"/>
              </w:rPr>
              <w:t xml:space="preserve"> </w:t>
            </w:r>
            <w:r w:rsidRPr="009A124C">
              <w:rPr>
                <w:rStyle w:val="hvr"/>
                <w:rFonts w:cs="Arial"/>
                <w:sz w:val="20"/>
                <w:szCs w:val="20"/>
              </w:rPr>
              <w:t>This</w:t>
            </w:r>
            <w:r w:rsidRPr="009A124C">
              <w:rPr>
                <w:rFonts w:cs="Arial"/>
                <w:sz w:val="20"/>
                <w:szCs w:val="20"/>
              </w:rPr>
              <w:t xml:space="preserve"> </w:t>
            </w:r>
            <w:r w:rsidRPr="009A124C">
              <w:rPr>
                <w:rStyle w:val="hvr"/>
                <w:rFonts w:cs="Arial"/>
                <w:sz w:val="20"/>
                <w:szCs w:val="20"/>
              </w:rPr>
              <w:t>often</w:t>
            </w:r>
            <w:r w:rsidRPr="009A124C">
              <w:rPr>
                <w:rFonts w:cs="Arial"/>
                <w:sz w:val="20"/>
                <w:szCs w:val="20"/>
              </w:rPr>
              <w:t xml:space="preserve"> </w:t>
            </w:r>
            <w:r w:rsidRPr="009A124C">
              <w:rPr>
                <w:rStyle w:val="hvr"/>
                <w:rFonts w:cs="Arial"/>
                <w:sz w:val="20"/>
                <w:szCs w:val="20"/>
              </w:rPr>
              <w:t>means</w:t>
            </w:r>
            <w:r w:rsidRPr="009A124C">
              <w:rPr>
                <w:rFonts w:cs="Arial"/>
                <w:sz w:val="20"/>
                <w:szCs w:val="20"/>
              </w:rPr>
              <w:t xml:space="preserve"> </w:t>
            </w:r>
            <w:r w:rsidRPr="009A124C">
              <w:rPr>
                <w:rStyle w:val="hvr"/>
                <w:rFonts w:cs="Arial"/>
                <w:sz w:val="20"/>
                <w:szCs w:val="20"/>
              </w:rPr>
              <w:t>transferring</w:t>
            </w:r>
            <w:r w:rsidRPr="009A124C">
              <w:rPr>
                <w:rFonts w:cs="Arial"/>
                <w:sz w:val="20"/>
                <w:szCs w:val="20"/>
              </w:rPr>
              <w:t xml:space="preserve"> </w:t>
            </w:r>
            <w:r w:rsidRPr="009A124C">
              <w:rPr>
                <w:rStyle w:val="hvr"/>
                <w:rFonts w:cs="Arial"/>
                <w:sz w:val="20"/>
                <w:szCs w:val="20"/>
              </w:rPr>
              <w:t>funds</w:t>
            </w:r>
            <w:r w:rsidRPr="009A124C">
              <w:rPr>
                <w:rFonts w:cs="Arial"/>
                <w:sz w:val="20"/>
                <w:szCs w:val="20"/>
              </w:rPr>
              <w:t xml:space="preserve"> to </w:t>
            </w:r>
            <w:r w:rsidRPr="009A124C">
              <w:rPr>
                <w:rStyle w:val="hvr"/>
                <w:rFonts w:cs="Arial"/>
                <w:sz w:val="20"/>
                <w:szCs w:val="20"/>
              </w:rPr>
              <w:t>countries</w:t>
            </w:r>
            <w:r w:rsidRPr="009A124C">
              <w:rPr>
                <w:rFonts w:cs="Arial"/>
                <w:sz w:val="20"/>
                <w:szCs w:val="20"/>
              </w:rPr>
              <w:t xml:space="preserve"> </w:t>
            </w:r>
            <w:r w:rsidRPr="009A124C">
              <w:rPr>
                <w:rStyle w:val="hvr"/>
                <w:rFonts w:cs="Arial"/>
                <w:sz w:val="20"/>
                <w:szCs w:val="20"/>
              </w:rPr>
              <w:t>outside</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source/origin country that</w:t>
            </w:r>
            <w:r w:rsidRPr="009A124C">
              <w:rPr>
                <w:rStyle w:val="hvr"/>
                <w:rFonts w:cs="Arial"/>
                <w:sz w:val="20"/>
                <w:szCs w:val="20"/>
              </w:rPr>
              <w:t xml:space="preserve"> might </w:t>
            </w:r>
            <w:r w:rsidRPr="009A124C">
              <w:rPr>
                <w:rFonts w:cs="Arial"/>
                <w:sz w:val="20"/>
                <w:szCs w:val="20"/>
              </w:rPr>
              <w:t xml:space="preserve">have </w:t>
            </w:r>
            <w:r w:rsidRPr="009A124C">
              <w:rPr>
                <w:rStyle w:val="hvr"/>
                <w:rFonts w:cs="Arial"/>
                <w:sz w:val="20"/>
                <w:szCs w:val="20"/>
              </w:rPr>
              <w:t>strict</w:t>
            </w:r>
            <w:r w:rsidRPr="009A124C">
              <w:rPr>
                <w:rFonts w:cs="Arial"/>
                <w:sz w:val="20"/>
                <w:szCs w:val="20"/>
              </w:rPr>
              <w:t xml:space="preserve"> </w:t>
            </w:r>
            <w:r w:rsidRPr="009A124C">
              <w:rPr>
                <w:rStyle w:val="hvr"/>
                <w:rFonts w:cs="Arial"/>
                <w:sz w:val="20"/>
                <w:szCs w:val="20"/>
              </w:rPr>
              <w:t>bank-secrecy</w:t>
            </w:r>
            <w:r w:rsidRPr="009A124C">
              <w:rPr>
                <w:rFonts w:cs="Arial"/>
                <w:sz w:val="20"/>
                <w:szCs w:val="20"/>
              </w:rPr>
              <w:t xml:space="preserve"> </w:t>
            </w:r>
            <w:r w:rsidRPr="009A124C">
              <w:rPr>
                <w:rStyle w:val="hvr"/>
                <w:rFonts w:cs="Arial"/>
                <w:sz w:val="20"/>
                <w:szCs w:val="20"/>
              </w:rPr>
              <w:t>laws.</w:t>
            </w:r>
            <w:r w:rsidRPr="009A124C">
              <w:rPr>
                <w:rFonts w:cs="Arial"/>
                <w:sz w:val="20"/>
                <w:szCs w:val="20"/>
              </w:rPr>
              <w:t xml:space="preserve"> </w:t>
            </w:r>
            <w:r w:rsidRPr="009A124C">
              <w:rPr>
                <w:rStyle w:val="hvr"/>
                <w:rFonts w:cs="Arial"/>
                <w:sz w:val="20"/>
                <w:szCs w:val="20"/>
              </w:rPr>
              <w:t>Such</w:t>
            </w:r>
            <w:r w:rsidRPr="009A124C">
              <w:rPr>
                <w:rFonts w:cs="Arial"/>
                <w:sz w:val="20"/>
                <w:szCs w:val="20"/>
              </w:rPr>
              <w:t xml:space="preserve"> </w:t>
            </w:r>
            <w:r w:rsidRPr="009A124C">
              <w:rPr>
                <w:rStyle w:val="hvr"/>
                <w:rFonts w:cs="Arial"/>
                <w:sz w:val="20"/>
                <w:szCs w:val="20"/>
              </w:rPr>
              <w:t>countries</w:t>
            </w:r>
            <w:r w:rsidRPr="009A124C">
              <w:rPr>
                <w:rFonts w:cs="Arial"/>
                <w:sz w:val="20"/>
                <w:szCs w:val="20"/>
              </w:rPr>
              <w:t xml:space="preserve"> </w:t>
            </w:r>
            <w:r w:rsidRPr="009A124C">
              <w:rPr>
                <w:rStyle w:val="hvr"/>
                <w:rFonts w:cs="Arial"/>
                <w:sz w:val="20"/>
                <w:szCs w:val="20"/>
              </w:rPr>
              <w:t>include</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w:t>
            </w:r>
            <w:r w:rsidRPr="009A124C">
              <w:rPr>
                <w:rStyle w:val="hvr"/>
                <w:rFonts w:cs="Arial"/>
                <w:sz w:val="20"/>
                <w:szCs w:val="20"/>
              </w:rPr>
              <w:t>Cayman</w:t>
            </w:r>
            <w:r w:rsidRPr="009A124C">
              <w:rPr>
                <w:rFonts w:cs="Arial"/>
                <w:sz w:val="20"/>
                <w:szCs w:val="20"/>
              </w:rPr>
              <w:t xml:space="preserve"> </w:t>
            </w:r>
            <w:r w:rsidRPr="009A124C">
              <w:rPr>
                <w:rStyle w:val="hvr"/>
                <w:rFonts w:cs="Arial"/>
                <w:sz w:val="20"/>
                <w:szCs w:val="20"/>
              </w:rPr>
              <w:t>Islands,</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w:t>
            </w:r>
            <w:r w:rsidRPr="009A124C">
              <w:rPr>
                <w:rStyle w:val="hvr"/>
                <w:rFonts w:cs="Arial"/>
                <w:sz w:val="20"/>
                <w:szCs w:val="20"/>
              </w:rPr>
              <w:t>Bahamas,</w:t>
            </w:r>
            <w:r w:rsidRPr="009A124C">
              <w:rPr>
                <w:rFonts w:cs="Arial"/>
                <w:sz w:val="20"/>
                <w:szCs w:val="20"/>
              </w:rPr>
              <w:t xml:space="preserve"> </w:t>
            </w:r>
            <w:r w:rsidRPr="009A124C">
              <w:rPr>
                <w:rStyle w:val="hvr"/>
                <w:rFonts w:cs="Arial"/>
                <w:sz w:val="20"/>
                <w:szCs w:val="20"/>
              </w:rPr>
              <w:t>and</w:t>
            </w:r>
            <w:r w:rsidRPr="009A124C">
              <w:rPr>
                <w:rFonts w:cs="Arial"/>
                <w:sz w:val="20"/>
                <w:szCs w:val="20"/>
              </w:rPr>
              <w:t xml:space="preserve"> </w:t>
            </w:r>
            <w:r w:rsidRPr="009A124C">
              <w:rPr>
                <w:rStyle w:val="hvr"/>
                <w:rFonts w:cs="Arial"/>
                <w:sz w:val="20"/>
                <w:szCs w:val="20"/>
              </w:rPr>
              <w:t>Panama.</w:t>
            </w:r>
            <w:r w:rsidRPr="009A124C">
              <w:rPr>
                <w:rFonts w:cs="Arial"/>
                <w:sz w:val="20"/>
                <w:szCs w:val="20"/>
              </w:rPr>
              <w:t xml:space="preserve"> </w:t>
            </w:r>
            <w:r w:rsidRPr="009A124C">
              <w:rPr>
                <w:rStyle w:val="hvr"/>
                <w:rFonts w:cs="Arial"/>
                <w:sz w:val="20"/>
                <w:szCs w:val="20"/>
              </w:rPr>
              <w:t>Once</w:t>
            </w:r>
            <w:r w:rsidRPr="009A124C">
              <w:rPr>
                <w:rFonts w:cs="Arial"/>
                <w:sz w:val="20"/>
                <w:szCs w:val="20"/>
              </w:rPr>
              <w:t xml:space="preserve"> </w:t>
            </w:r>
            <w:r w:rsidRPr="009A124C">
              <w:rPr>
                <w:rStyle w:val="hvr"/>
                <w:rFonts w:cs="Arial"/>
                <w:sz w:val="20"/>
                <w:szCs w:val="20"/>
              </w:rPr>
              <w:t>deposited</w:t>
            </w:r>
            <w:r w:rsidRPr="009A124C">
              <w:rPr>
                <w:rFonts w:cs="Arial"/>
                <w:sz w:val="20"/>
                <w:szCs w:val="20"/>
              </w:rPr>
              <w:t xml:space="preserve"> in a </w:t>
            </w:r>
            <w:r w:rsidRPr="009A124C">
              <w:rPr>
                <w:rStyle w:val="hvr"/>
                <w:rFonts w:cs="Arial"/>
                <w:sz w:val="20"/>
                <w:szCs w:val="20"/>
              </w:rPr>
              <w:t>foreign</w:t>
            </w:r>
            <w:r w:rsidRPr="009A124C">
              <w:rPr>
                <w:rFonts w:cs="Arial"/>
                <w:sz w:val="20"/>
                <w:szCs w:val="20"/>
              </w:rPr>
              <w:t xml:space="preserve"> </w:t>
            </w:r>
            <w:r w:rsidRPr="009A124C">
              <w:rPr>
                <w:rStyle w:val="hvr"/>
                <w:rFonts w:cs="Arial"/>
                <w:sz w:val="20"/>
                <w:szCs w:val="20"/>
              </w:rPr>
              <w:t>bank,</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w:t>
            </w:r>
            <w:r w:rsidRPr="009A124C">
              <w:rPr>
                <w:rStyle w:val="hvr"/>
                <w:rFonts w:cs="Arial"/>
                <w:sz w:val="20"/>
                <w:szCs w:val="20"/>
              </w:rPr>
              <w:t>funds</w:t>
            </w:r>
            <w:r w:rsidRPr="009A124C">
              <w:rPr>
                <w:rFonts w:cs="Arial"/>
                <w:sz w:val="20"/>
                <w:szCs w:val="20"/>
              </w:rPr>
              <w:t xml:space="preserve"> </w:t>
            </w:r>
            <w:r w:rsidRPr="009A124C">
              <w:rPr>
                <w:rStyle w:val="hvr"/>
                <w:rFonts w:cs="Arial"/>
                <w:sz w:val="20"/>
                <w:szCs w:val="20"/>
              </w:rPr>
              <w:t>can</w:t>
            </w:r>
            <w:r w:rsidRPr="009A124C">
              <w:rPr>
                <w:rFonts w:cs="Arial"/>
                <w:sz w:val="20"/>
                <w:szCs w:val="20"/>
              </w:rPr>
              <w:t xml:space="preserve"> be </w:t>
            </w:r>
            <w:r w:rsidRPr="009A124C">
              <w:rPr>
                <w:rStyle w:val="hvr"/>
                <w:rFonts w:cs="Arial"/>
                <w:sz w:val="20"/>
                <w:szCs w:val="20"/>
              </w:rPr>
              <w:t>moved</w:t>
            </w:r>
            <w:r w:rsidRPr="009A124C">
              <w:rPr>
                <w:rFonts w:cs="Arial"/>
                <w:sz w:val="20"/>
                <w:szCs w:val="20"/>
              </w:rPr>
              <w:t xml:space="preserve"> </w:t>
            </w:r>
            <w:r w:rsidRPr="009A124C">
              <w:rPr>
                <w:rStyle w:val="hvr"/>
                <w:rFonts w:cs="Arial"/>
                <w:sz w:val="20"/>
                <w:szCs w:val="20"/>
              </w:rPr>
              <w:t>through</w:t>
            </w:r>
            <w:r w:rsidRPr="009A124C">
              <w:rPr>
                <w:rFonts w:cs="Arial"/>
                <w:sz w:val="20"/>
                <w:szCs w:val="20"/>
              </w:rPr>
              <w:t xml:space="preserve"> </w:t>
            </w:r>
            <w:r w:rsidRPr="009A124C">
              <w:rPr>
                <w:rStyle w:val="hvr"/>
                <w:rFonts w:cs="Arial"/>
                <w:sz w:val="20"/>
                <w:szCs w:val="20"/>
              </w:rPr>
              <w:t>accounts</w:t>
            </w:r>
            <w:r w:rsidRPr="009A124C">
              <w:rPr>
                <w:rFonts w:cs="Arial"/>
                <w:sz w:val="20"/>
                <w:szCs w:val="20"/>
              </w:rPr>
              <w:t xml:space="preserve"> of </w:t>
            </w:r>
            <w:r w:rsidRPr="009A124C">
              <w:rPr>
                <w:rStyle w:val="hvr"/>
                <w:rFonts w:cs="Arial"/>
                <w:sz w:val="20"/>
                <w:szCs w:val="20"/>
              </w:rPr>
              <w:t>"shell"</w:t>
            </w:r>
            <w:r w:rsidRPr="009A124C">
              <w:rPr>
                <w:rFonts w:cs="Arial"/>
                <w:sz w:val="20"/>
                <w:szCs w:val="20"/>
              </w:rPr>
              <w:t xml:space="preserve"> </w:t>
            </w:r>
            <w:r w:rsidRPr="009A124C">
              <w:rPr>
                <w:rStyle w:val="hvr"/>
                <w:rFonts w:cs="Arial"/>
                <w:sz w:val="20"/>
                <w:szCs w:val="20"/>
              </w:rPr>
              <w:t>corporations,</w:t>
            </w:r>
            <w:r w:rsidRPr="009A124C">
              <w:rPr>
                <w:rFonts w:cs="Arial"/>
                <w:sz w:val="20"/>
                <w:szCs w:val="20"/>
              </w:rPr>
              <w:t xml:space="preserve"> </w:t>
            </w:r>
            <w:r w:rsidRPr="009A124C">
              <w:rPr>
                <w:rStyle w:val="hvr"/>
                <w:rFonts w:cs="Arial"/>
                <w:sz w:val="20"/>
                <w:szCs w:val="20"/>
              </w:rPr>
              <w:t>which</w:t>
            </w:r>
            <w:r w:rsidRPr="009A124C">
              <w:rPr>
                <w:rFonts w:cs="Arial"/>
                <w:sz w:val="20"/>
                <w:szCs w:val="20"/>
              </w:rPr>
              <w:t xml:space="preserve"> </w:t>
            </w:r>
            <w:r w:rsidRPr="009A124C">
              <w:rPr>
                <w:rStyle w:val="hvr"/>
                <w:rFonts w:cs="Arial"/>
                <w:sz w:val="20"/>
                <w:szCs w:val="20"/>
              </w:rPr>
              <w:t>exist</w:t>
            </w:r>
            <w:r w:rsidRPr="009A124C">
              <w:rPr>
                <w:rFonts w:cs="Arial"/>
                <w:sz w:val="20"/>
                <w:szCs w:val="20"/>
              </w:rPr>
              <w:t xml:space="preserve"> </w:t>
            </w:r>
            <w:r w:rsidRPr="009A124C">
              <w:rPr>
                <w:rStyle w:val="hvr"/>
                <w:rFonts w:cs="Arial"/>
                <w:sz w:val="20"/>
                <w:szCs w:val="20"/>
              </w:rPr>
              <w:t>solely</w:t>
            </w:r>
            <w:r w:rsidRPr="009A124C">
              <w:rPr>
                <w:rFonts w:cs="Arial"/>
                <w:sz w:val="20"/>
                <w:szCs w:val="20"/>
              </w:rPr>
              <w:t xml:space="preserve"> </w:t>
            </w:r>
            <w:r w:rsidRPr="009A124C">
              <w:rPr>
                <w:rStyle w:val="hvr"/>
                <w:rFonts w:cs="Arial"/>
                <w:sz w:val="20"/>
                <w:szCs w:val="20"/>
              </w:rPr>
              <w:t>for</w:t>
            </w:r>
            <w:r w:rsidRPr="009A124C">
              <w:rPr>
                <w:rFonts w:cs="Arial"/>
                <w:sz w:val="20"/>
                <w:szCs w:val="20"/>
              </w:rPr>
              <w:t xml:space="preserve"> </w:t>
            </w:r>
            <w:r w:rsidRPr="009A124C">
              <w:rPr>
                <w:rStyle w:val="hvr"/>
                <w:rFonts w:cs="Arial"/>
                <w:sz w:val="20"/>
                <w:szCs w:val="20"/>
              </w:rPr>
              <w:t>laundering</w:t>
            </w:r>
            <w:r w:rsidRPr="009A124C">
              <w:rPr>
                <w:rFonts w:cs="Arial"/>
                <w:sz w:val="20"/>
                <w:szCs w:val="20"/>
              </w:rPr>
              <w:t xml:space="preserve"> </w:t>
            </w:r>
            <w:r w:rsidRPr="009A124C">
              <w:rPr>
                <w:rStyle w:val="hvr"/>
                <w:rFonts w:cs="Arial"/>
                <w:sz w:val="20"/>
                <w:szCs w:val="20"/>
              </w:rPr>
              <w:t>purposes.</w:t>
            </w:r>
            <w:r w:rsidRPr="009A124C">
              <w:rPr>
                <w:rFonts w:cs="Arial"/>
                <w:sz w:val="20"/>
                <w:szCs w:val="20"/>
              </w:rPr>
              <w:t xml:space="preserve"> </w:t>
            </w:r>
            <w:r w:rsidRPr="009A124C">
              <w:rPr>
                <w:rStyle w:val="hvr"/>
                <w:rFonts w:cs="Arial"/>
                <w:sz w:val="20"/>
                <w:szCs w:val="20"/>
              </w:rPr>
              <w:t>The</w:t>
            </w:r>
            <w:r w:rsidRPr="009A124C">
              <w:rPr>
                <w:rFonts w:cs="Arial"/>
                <w:sz w:val="20"/>
                <w:szCs w:val="20"/>
              </w:rPr>
              <w:t xml:space="preserve"> </w:t>
            </w:r>
            <w:r w:rsidRPr="009A124C">
              <w:rPr>
                <w:rStyle w:val="hvr"/>
                <w:rFonts w:cs="Arial"/>
                <w:sz w:val="20"/>
                <w:szCs w:val="20"/>
              </w:rPr>
              <w:t>high</w:t>
            </w:r>
            <w:r w:rsidRPr="009A124C">
              <w:rPr>
                <w:rFonts w:cs="Arial"/>
                <w:sz w:val="20"/>
                <w:szCs w:val="20"/>
              </w:rPr>
              <w:t xml:space="preserve"> </w:t>
            </w:r>
            <w:r w:rsidRPr="009A124C">
              <w:rPr>
                <w:rStyle w:val="hvr"/>
                <w:rFonts w:cs="Arial"/>
                <w:sz w:val="20"/>
                <w:szCs w:val="20"/>
              </w:rPr>
              <w:t>daily</w:t>
            </w:r>
            <w:r w:rsidRPr="009A124C">
              <w:rPr>
                <w:rFonts w:cs="Arial"/>
                <w:sz w:val="20"/>
                <w:szCs w:val="20"/>
              </w:rPr>
              <w:t xml:space="preserve"> </w:t>
            </w:r>
            <w:r w:rsidRPr="009A124C">
              <w:rPr>
                <w:rStyle w:val="hvr"/>
                <w:rFonts w:cs="Arial"/>
                <w:sz w:val="20"/>
                <w:szCs w:val="20"/>
              </w:rPr>
              <w:t>volume</w:t>
            </w:r>
            <w:r w:rsidRPr="009A124C">
              <w:rPr>
                <w:rFonts w:cs="Arial"/>
                <w:sz w:val="20"/>
                <w:szCs w:val="20"/>
              </w:rPr>
              <w:t xml:space="preserve"> of </w:t>
            </w:r>
            <w:r w:rsidRPr="009A124C">
              <w:rPr>
                <w:rStyle w:val="hvr"/>
                <w:rFonts w:cs="Arial"/>
                <w:sz w:val="20"/>
                <w:szCs w:val="20"/>
              </w:rPr>
              <w:t>wire</w:t>
            </w:r>
            <w:r w:rsidRPr="009A124C">
              <w:rPr>
                <w:rFonts w:cs="Arial"/>
                <w:sz w:val="20"/>
                <w:szCs w:val="20"/>
              </w:rPr>
              <w:t xml:space="preserve"> </w:t>
            </w:r>
            <w:r w:rsidRPr="009A124C">
              <w:rPr>
                <w:rStyle w:val="hvr"/>
                <w:rFonts w:cs="Arial"/>
                <w:sz w:val="20"/>
                <w:szCs w:val="20"/>
              </w:rPr>
              <w:t>transfers</w:t>
            </w:r>
            <w:r w:rsidRPr="009A124C">
              <w:rPr>
                <w:rFonts w:cs="Arial"/>
                <w:sz w:val="20"/>
                <w:szCs w:val="20"/>
              </w:rPr>
              <w:t xml:space="preserve"> </w:t>
            </w:r>
            <w:r w:rsidRPr="009A124C">
              <w:rPr>
                <w:rStyle w:val="hvr"/>
                <w:rFonts w:cs="Arial"/>
                <w:sz w:val="20"/>
                <w:szCs w:val="20"/>
              </w:rPr>
              <w:t>makes</w:t>
            </w:r>
            <w:r w:rsidRPr="009A124C">
              <w:rPr>
                <w:rFonts w:cs="Arial"/>
                <w:sz w:val="20"/>
                <w:szCs w:val="20"/>
              </w:rPr>
              <w:t xml:space="preserve"> it </w:t>
            </w:r>
            <w:r w:rsidRPr="009A124C">
              <w:rPr>
                <w:rStyle w:val="hvr"/>
                <w:rFonts w:cs="Arial"/>
                <w:sz w:val="20"/>
                <w:szCs w:val="20"/>
              </w:rPr>
              <w:t>difficult</w:t>
            </w:r>
            <w:r w:rsidRPr="009A124C">
              <w:rPr>
                <w:rFonts w:cs="Arial"/>
                <w:sz w:val="20"/>
                <w:szCs w:val="20"/>
              </w:rPr>
              <w:t xml:space="preserve"> </w:t>
            </w:r>
            <w:r w:rsidRPr="009A124C">
              <w:rPr>
                <w:rStyle w:val="hvr"/>
                <w:rFonts w:cs="Arial"/>
                <w:sz w:val="20"/>
                <w:szCs w:val="20"/>
              </w:rPr>
              <w:t>for</w:t>
            </w:r>
            <w:r w:rsidRPr="009A124C">
              <w:rPr>
                <w:rFonts w:cs="Arial"/>
                <w:sz w:val="20"/>
                <w:szCs w:val="20"/>
              </w:rPr>
              <w:t xml:space="preserve"> </w:t>
            </w:r>
            <w:r w:rsidRPr="009A124C">
              <w:rPr>
                <w:rStyle w:val="hvr"/>
                <w:rFonts w:cs="Arial"/>
                <w:sz w:val="20"/>
                <w:szCs w:val="20"/>
              </w:rPr>
              <w:t>law</w:t>
            </w:r>
            <w:r w:rsidRPr="009A124C">
              <w:rPr>
                <w:rFonts w:cs="Arial"/>
                <w:sz w:val="20"/>
                <w:szCs w:val="20"/>
              </w:rPr>
              <w:t xml:space="preserve"> </w:t>
            </w:r>
            <w:r w:rsidRPr="009A124C">
              <w:rPr>
                <w:rStyle w:val="hvr"/>
                <w:rFonts w:cs="Arial"/>
                <w:sz w:val="20"/>
                <w:szCs w:val="20"/>
              </w:rPr>
              <w:t>enforcement</w:t>
            </w:r>
            <w:r w:rsidRPr="009A124C">
              <w:rPr>
                <w:rFonts w:cs="Arial"/>
                <w:sz w:val="20"/>
                <w:szCs w:val="20"/>
              </w:rPr>
              <w:t xml:space="preserve"> </w:t>
            </w:r>
            <w:r w:rsidRPr="009A124C">
              <w:rPr>
                <w:rStyle w:val="hvr"/>
                <w:rFonts w:cs="Arial"/>
                <w:sz w:val="20"/>
                <w:szCs w:val="20"/>
              </w:rPr>
              <w:t>agencies</w:t>
            </w:r>
            <w:r w:rsidRPr="009A124C">
              <w:rPr>
                <w:rFonts w:cs="Arial"/>
                <w:sz w:val="20"/>
                <w:szCs w:val="20"/>
              </w:rPr>
              <w:t xml:space="preserve"> to </w:t>
            </w:r>
            <w:r w:rsidRPr="009A124C">
              <w:rPr>
                <w:rStyle w:val="hvr"/>
                <w:rFonts w:cs="Arial"/>
                <w:sz w:val="20"/>
                <w:szCs w:val="20"/>
              </w:rPr>
              <w:t>trace</w:t>
            </w:r>
            <w:r w:rsidRPr="009A124C">
              <w:rPr>
                <w:rFonts w:cs="Arial"/>
                <w:sz w:val="20"/>
                <w:szCs w:val="20"/>
              </w:rPr>
              <w:t xml:space="preserve"> </w:t>
            </w:r>
            <w:r w:rsidRPr="009A124C">
              <w:rPr>
                <w:rStyle w:val="hvr"/>
                <w:rFonts w:cs="Arial"/>
                <w:sz w:val="20"/>
                <w:szCs w:val="20"/>
              </w:rPr>
              <w:t>these</w:t>
            </w:r>
            <w:r w:rsidRPr="009A124C">
              <w:rPr>
                <w:rFonts w:cs="Arial"/>
                <w:sz w:val="20"/>
                <w:szCs w:val="20"/>
              </w:rPr>
              <w:t xml:space="preserve"> </w:t>
            </w:r>
            <w:r w:rsidRPr="009A124C">
              <w:rPr>
                <w:rStyle w:val="hvr"/>
                <w:rFonts w:cs="Arial"/>
                <w:sz w:val="20"/>
                <w:szCs w:val="20"/>
              </w:rPr>
              <w:t>transactions.</w:t>
            </w:r>
          </w:p>
          <w:p w:rsidR="00C35183" w:rsidRPr="009A124C" w:rsidRDefault="00C35183" w:rsidP="00C35183">
            <w:pPr>
              <w:ind w:left="720"/>
              <w:rPr>
                <w:rFonts w:eastAsia="Times New Roman" w:cs="Arial"/>
                <w:sz w:val="20"/>
                <w:szCs w:val="20"/>
              </w:rPr>
            </w:pPr>
            <w:r w:rsidRPr="009A124C">
              <w:rPr>
                <w:rStyle w:val="hvr"/>
                <w:rFonts w:cs="Arial"/>
                <w:sz w:val="20"/>
                <w:szCs w:val="20"/>
              </w:rPr>
              <w:lastRenderedPageBreak/>
              <w:t xml:space="preserve">Integration: </w:t>
            </w:r>
            <w:r w:rsidRPr="009A124C">
              <w:rPr>
                <w:rFonts w:eastAsia="Times New Roman" w:cs="Arial"/>
                <w:sz w:val="20"/>
                <w:szCs w:val="20"/>
              </w:rPr>
              <w:t>This is the movement of previously laundered money into the economy mainly through the banking system and thus such monies appear to be normal business earnings. This is dissimilar to layering, for in the integration process detection and identification of laundered funds is provided through informants. Some of the methods used are property dealings, front companies and false loans, foreign bank complicity and not limited to false import/export invoices.</w:t>
            </w:r>
          </w:p>
          <w:p w:rsidR="00C35183" w:rsidRPr="009A124C" w:rsidRDefault="00C35183" w:rsidP="00C35183">
            <w:pPr>
              <w:ind w:left="720"/>
              <w:rPr>
                <w:rFonts w:eastAsia="Times New Roman" w:cs="Arial"/>
                <w:sz w:val="20"/>
                <w:szCs w:val="20"/>
              </w:rPr>
            </w:pPr>
          </w:p>
          <w:p w:rsidR="00C35183" w:rsidRPr="009A124C" w:rsidRDefault="00C35183" w:rsidP="00C35183">
            <w:pPr>
              <w:ind w:left="720"/>
              <w:rPr>
                <w:rFonts w:eastAsia="Times New Roman" w:cs="Arial"/>
                <w:sz w:val="20"/>
                <w:szCs w:val="20"/>
              </w:rPr>
            </w:pPr>
            <w:r w:rsidRPr="009A124C">
              <w:rPr>
                <w:rFonts w:eastAsia="Times New Roman" w:cs="Arial"/>
                <w:sz w:val="20"/>
                <w:szCs w:val="20"/>
              </w:rPr>
              <w:t>Money laundering has potentially devastating economic security and social consequences. It provides the fuel for drug dealers, corrupt public officials and others to operate and expand their criminal enterprises. Crime has become increasingly international in scope and the financial aspects of crime have become more complex due to rapid advances in technology and the globalization of the financial service industries resulting in money being laundered through currency exchange houses, stock brokerage houses, gold dealers, casinos, offshore banking, shell corporations, wire systems and trade financing.</w:t>
            </w:r>
          </w:p>
          <w:p w:rsidR="00C35183" w:rsidRPr="009A124C" w:rsidRDefault="00C35183" w:rsidP="00C35183">
            <w:pPr>
              <w:ind w:left="720"/>
              <w:rPr>
                <w:rFonts w:eastAsia="Times New Roman" w:cs="Arial"/>
                <w:sz w:val="20"/>
                <w:szCs w:val="20"/>
              </w:rPr>
            </w:pPr>
          </w:p>
          <w:p w:rsidR="00C35183" w:rsidRPr="009A124C" w:rsidRDefault="00C35183" w:rsidP="00C35183">
            <w:pPr>
              <w:pStyle w:val="ListParagraph"/>
              <w:numPr>
                <w:ilvl w:val="0"/>
                <w:numId w:val="2"/>
              </w:numPr>
              <w:spacing w:after="160" w:line="259" w:lineRule="auto"/>
              <w:rPr>
                <w:rFonts w:eastAsia="Times New Roman" w:cs="Arial"/>
                <w:sz w:val="20"/>
                <w:szCs w:val="20"/>
              </w:rPr>
            </w:pPr>
            <w:r w:rsidRPr="009A124C">
              <w:rPr>
                <w:rFonts w:eastAsia="Times New Roman" w:cs="Arial"/>
                <w:sz w:val="20"/>
                <w:szCs w:val="20"/>
              </w:rPr>
              <w:t xml:space="preserve">Embezzlement is an act of dishonestly withholding assets for the purpose of conversion (theft/larceny) of such assets (money or property), by one or more persons to whom the assets were entrusted, either to be held or to be used for specific purposes. </w:t>
            </w:r>
            <w:r w:rsidRPr="009A124C">
              <w:rPr>
                <w:rFonts w:cs="Arial"/>
                <w:sz w:val="20"/>
                <w:szCs w:val="20"/>
              </w:rPr>
              <w:t>Financial crime is any non-violent offense that is committed by or against an individual or corporation and results in a financial loss</w:t>
            </w:r>
          </w:p>
          <w:p w:rsidR="00C35183" w:rsidRPr="009A124C" w:rsidRDefault="00C35183" w:rsidP="00C35183">
            <w:pPr>
              <w:pStyle w:val="ListParagraph"/>
              <w:rPr>
                <w:rFonts w:eastAsia="Times New Roman" w:cs="Arial"/>
                <w:sz w:val="20"/>
                <w:szCs w:val="20"/>
              </w:rPr>
            </w:pPr>
          </w:p>
          <w:p w:rsidR="00C35183" w:rsidRPr="009A124C" w:rsidRDefault="00C35183" w:rsidP="00C35183">
            <w:pPr>
              <w:pStyle w:val="ListParagraph"/>
              <w:rPr>
                <w:rFonts w:eastAsia="Times New Roman" w:cs="Arial"/>
                <w:sz w:val="20"/>
                <w:szCs w:val="20"/>
              </w:rPr>
            </w:pPr>
            <w:r w:rsidRPr="009A124C">
              <w:rPr>
                <w:rFonts w:eastAsia="Times New Roman" w:cs="Arial"/>
                <w:sz w:val="20"/>
                <w:szCs w:val="20"/>
              </w:rPr>
              <w:t>Accounting embezzlement, a common form of the financial crime, is the manipulation of accounting records to hide theft of funds. Offenders are given lawful possession of the property, and then are accused of converting the property to their personal use.</w:t>
            </w:r>
          </w:p>
          <w:p w:rsidR="00C35183" w:rsidRPr="009A124C" w:rsidRDefault="00C35183" w:rsidP="00C35183">
            <w:pPr>
              <w:spacing w:before="100" w:beforeAutospacing="1" w:after="100" w:afterAutospacing="1"/>
              <w:ind w:left="720"/>
              <w:rPr>
                <w:rFonts w:eastAsia="Times New Roman" w:cs="Arial"/>
                <w:sz w:val="20"/>
                <w:szCs w:val="20"/>
              </w:rPr>
            </w:pPr>
            <w:r w:rsidRPr="009A124C">
              <w:rPr>
                <w:rFonts w:eastAsia="Times New Roman" w:cs="Arial"/>
                <w:sz w:val="20"/>
                <w:szCs w:val="20"/>
              </w:rPr>
              <w:t>A person is often given access to someone else’s property or money for the purposes of managing, monitoring, and/or using the assets for the owner’s best interests, but then covertly misappropriates the assets for his/her own personal gain and use, this is an example of embezzlement which is considered as financial crime.</w:t>
            </w:r>
          </w:p>
          <w:p w:rsidR="00C35183" w:rsidRPr="009A124C" w:rsidRDefault="00C35183" w:rsidP="00C35183">
            <w:pPr>
              <w:spacing w:before="100" w:beforeAutospacing="1" w:after="100" w:afterAutospacing="1"/>
              <w:ind w:left="720"/>
              <w:rPr>
                <w:rFonts w:eastAsia="Times New Roman" w:cs="Arial"/>
                <w:sz w:val="20"/>
                <w:szCs w:val="20"/>
              </w:rPr>
            </w:pPr>
            <w:r w:rsidRPr="009A124C">
              <w:rPr>
                <w:rFonts w:eastAsia="Times New Roman" w:cs="Arial"/>
                <w:sz w:val="20"/>
                <w:szCs w:val="20"/>
              </w:rPr>
              <w:t>Common examples include bank tellers or store clerks who are given lawful possession of money, which is the property of the bank or business owner, during regular business transactions. Other examples include employees who are given lawful possession of company property such as laptop computers or company vehicles.</w:t>
            </w:r>
          </w:p>
          <w:p w:rsidR="00C35183" w:rsidRPr="009A124C" w:rsidRDefault="00C35183" w:rsidP="00C35183">
            <w:pPr>
              <w:spacing w:before="100" w:beforeAutospacing="1" w:after="100" w:afterAutospacing="1"/>
              <w:ind w:left="720"/>
              <w:rPr>
                <w:rFonts w:eastAsia="Times New Roman" w:cs="Arial"/>
                <w:sz w:val="20"/>
                <w:szCs w:val="20"/>
              </w:rPr>
            </w:pPr>
            <w:r w:rsidRPr="009A124C">
              <w:rPr>
                <w:rFonts w:eastAsia="Times New Roman" w:cs="Arial"/>
                <w:sz w:val="20"/>
                <w:szCs w:val="20"/>
              </w:rPr>
              <w:t>This type of crime is most common in the employment and corporate fields. Some embezzlers simply take a large amount of money at once, while others misappropriate small amounts over a long period of time. The methods used to embezzle can vary greatly and are often surprisingly creative. They can include fraudulent billing, payroll checks to fabricated employees, records falsification, “Ponzi” financial schemes and more.</w:t>
            </w:r>
          </w:p>
          <w:p w:rsidR="00C35183" w:rsidRPr="009A124C" w:rsidRDefault="00C35183" w:rsidP="00C35183">
            <w:pPr>
              <w:spacing w:before="100" w:beforeAutospacing="1" w:after="100" w:afterAutospacing="1"/>
              <w:ind w:left="720"/>
              <w:rPr>
                <w:rFonts w:eastAsia="Times New Roman" w:cs="Arial"/>
                <w:sz w:val="20"/>
                <w:szCs w:val="20"/>
              </w:rPr>
            </w:pPr>
            <w:r w:rsidRPr="009A124C">
              <w:rPr>
                <w:rFonts w:cs="Arial"/>
                <w:sz w:val="20"/>
                <w:szCs w:val="20"/>
              </w:rPr>
              <w:t>There are a number of warning signs of employee embezzlement. Some general indicators may include: missing documents, delayed banking, holes in accounting records, sharp decline in profits, customers complaining about double billing, repeated duplicate payments, disappearance of petty cash and employee spending more lavishly than salary might indicate, etc.</w:t>
            </w:r>
          </w:p>
          <w:p w:rsidR="00C35183" w:rsidRPr="009A124C" w:rsidRDefault="00C35183" w:rsidP="00C35183">
            <w:pPr>
              <w:pStyle w:val="NoSpacing"/>
              <w:ind w:firstLine="720"/>
              <w:rPr>
                <w:rFonts w:cs="Arial"/>
                <w:sz w:val="20"/>
                <w:szCs w:val="20"/>
              </w:rPr>
            </w:pPr>
            <w:r w:rsidRPr="009A124C">
              <w:rPr>
                <w:rFonts w:cs="Arial"/>
                <w:sz w:val="20"/>
                <w:szCs w:val="20"/>
              </w:rPr>
              <w:t>In order for a charge of embezzlement to be supported, four factors must be present:</w:t>
            </w:r>
          </w:p>
          <w:p w:rsidR="00C35183" w:rsidRPr="009A124C" w:rsidRDefault="00C35183" w:rsidP="00C35183">
            <w:pPr>
              <w:pStyle w:val="NoSpacing"/>
              <w:ind w:left="720"/>
              <w:rPr>
                <w:rFonts w:cs="Arial"/>
                <w:sz w:val="20"/>
                <w:szCs w:val="20"/>
              </w:rPr>
            </w:pPr>
            <w:r w:rsidRPr="009A124C">
              <w:rPr>
                <w:rFonts w:cs="Arial"/>
                <w:sz w:val="20"/>
                <w:szCs w:val="20"/>
              </w:rPr>
              <w:t xml:space="preserve">• There must be a </w:t>
            </w:r>
            <w:hyperlink r:id="rId11" w:tooltip="Fiduciary Relationship" w:history="1">
              <w:r w:rsidRPr="009A124C">
                <w:rPr>
                  <w:rFonts w:cs="Arial"/>
                  <w:sz w:val="20"/>
                  <w:szCs w:val="20"/>
                  <w:u w:val="single"/>
                </w:rPr>
                <w:t>fiduciary relationship</w:t>
              </w:r>
            </w:hyperlink>
            <w:r w:rsidRPr="009A124C">
              <w:rPr>
                <w:rFonts w:cs="Arial"/>
                <w:sz w:val="20"/>
                <w:szCs w:val="20"/>
              </w:rPr>
              <w:t xml:space="preserve"> between the two parties; that is, there must be a reliance by one party on the other,</w:t>
            </w:r>
          </w:p>
          <w:p w:rsidR="00C35183" w:rsidRPr="009A124C" w:rsidRDefault="00C35183" w:rsidP="00C35183">
            <w:pPr>
              <w:pStyle w:val="NoSpacing"/>
              <w:ind w:left="720"/>
              <w:rPr>
                <w:rFonts w:cs="Arial"/>
                <w:sz w:val="20"/>
                <w:szCs w:val="20"/>
              </w:rPr>
            </w:pPr>
            <w:r w:rsidRPr="009A124C">
              <w:rPr>
                <w:rFonts w:cs="Arial"/>
                <w:sz w:val="20"/>
                <w:szCs w:val="20"/>
              </w:rPr>
              <w:t>• The defendant must have acquired the property through the relationship (rather than in some other manner),</w:t>
            </w:r>
          </w:p>
          <w:p w:rsidR="00C35183" w:rsidRPr="009A124C" w:rsidRDefault="00C35183" w:rsidP="00C35183">
            <w:pPr>
              <w:pStyle w:val="NoSpacing"/>
              <w:ind w:left="720"/>
              <w:rPr>
                <w:rFonts w:cs="Arial"/>
                <w:sz w:val="20"/>
                <w:szCs w:val="20"/>
              </w:rPr>
            </w:pPr>
            <w:r w:rsidRPr="009A124C">
              <w:rPr>
                <w:rFonts w:cs="Arial"/>
                <w:sz w:val="20"/>
                <w:szCs w:val="20"/>
              </w:rPr>
              <w:t>• The defendant must have taken ownership of the property or transferred the property to someone else,</w:t>
            </w:r>
          </w:p>
          <w:p w:rsidR="00C35183" w:rsidRPr="009A124C" w:rsidRDefault="00C35183" w:rsidP="00C35183">
            <w:pPr>
              <w:pStyle w:val="NoSpacing"/>
              <w:ind w:firstLine="720"/>
              <w:rPr>
                <w:rFonts w:cs="Arial"/>
                <w:sz w:val="20"/>
                <w:szCs w:val="20"/>
              </w:rPr>
            </w:pPr>
            <w:r w:rsidRPr="009A124C">
              <w:rPr>
                <w:rFonts w:cs="Arial"/>
                <w:sz w:val="20"/>
                <w:szCs w:val="20"/>
              </w:rPr>
              <w:t>• The defendant's misappropriation of the property was intentional.</w:t>
            </w:r>
          </w:p>
          <w:p w:rsidR="00C35183" w:rsidRPr="009A124C" w:rsidRDefault="00C35183" w:rsidP="00C35183">
            <w:pPr>
              <w:pStyle w:val="NoSpacing"/>
              <w:ind w:firstLine="720"/>
              <w:rPr>
                <w:rFonts w:cs="Arial"/>
                <w:sz w:val="20"/>
                <w:szCs w:val="20"/>
              </w:rPr>
            </w:pPr>
          </w:p>
          <w:p w:rsidR="00C35183" w:rsidRDefault="00C35183" w:rsidP="00C35183">
            <w:pPr>
              <w:ind w:left="720"/>
              <w:rPr>
                <w:rFonts w:cs="Arial"/>
                <w:color w:val="000000" w:themeColor="text1"/>
                <w:sz w:val="20"/>
                <w:szCs w:val="20"/>
              </w:rPr>
            </w:pPr>
            <w:r w:rsidRPr="009A124C">
              <w:rPr>
                <w:rFonts w:cs="Arial"/>
                <w:sz w:val="20"/>
                <w:szCs w:val="20"/>
              </w:rPr>
              <w:lastRenderedPageBreak/>
              <w:t>Since embezzlement is usually discovered by way of circumstantial evidence, an active approach by the employer is required to uncover the perpetrators of the crime. An investigation should be conducted quickly but subtly. Company officials should compile a list of employees who may have had the opportunity to commit the suspected embezzlement. These employees should be interviewed, more than once if necessary. The employer should try to recover as many records as possible to find accounting discrepancies or other evidence. If the crime appears to exist on a large scale, the employer may need to contact outside advisors – including attorneys, insurance agents, and investigative specialists – to assist with the inquiry.</w:t>
            </w:r>
            <w:r w:rsidRPr="009A124C">
              <w:rPr>
                <w:rFonts w:cs="Arial"/>
                <w:sz w:val="20"/>
                <w:szCs w:val="20"/>
              </w:rPr>
              <w:br/>
              <w:t xml:space="preserve">If guilt can be assigned to one or more individuals, the employer will have to determine what action to take against them within the company. Termination is not out of the question if there is strong evidence indicating guilt. Then, the employer must decide whether or not a civil suit will be filed and whether or not to turn the evidence over to public authorities for </w:t>
            </w:r>
            <w:hyperlink r:id="rId12" w:history="1">
              <w:r w:rsidRPr="00C35183">
                <w:rPr>
                  <w:rStyle w:val="Hyperlink"/>
                  <w:rFonts w:cs="Arial"/>
                  <w:color w:val="000000" w:themeColor="text1"/>
                  <w:sz w:val="20"/>
                  <w:szCs w:val="20"/>
                  <w:u w:val="none"/>
                </w:rPr>
                <w:t>criminal booking and trial</w:t>
              </w:r>
            </w:hyperlink>
            <w:r w:rsidRPr="00C35183">
              <w:rPr>
                <w:rFonts w:cs="Arial"/>
                <w:color w:val="000000" w:themeColor="text1"/>
                <w:sz w:val="20"/>
                <w:szCs w:val="20"/>
              </w:rPr>
              <w:t>.</w:t>
            </w:r>
          </w:p>
          <w:p w:rsidR="009303F4" w:rsidRDefault="009303F4" w:rsidP="00C35183">
            <w:pPr>
              <w:ind w:left="720"/>
              <w:rPr>
                <w:rFonts w:cs="Arial"/>
                <w:color w:val="000000" w:themeColor="text1"/>
                <w:sz w:val="20"/>
                <w:szCs w:val="20"/>
              </w:rPr>
            </w:pPr>
          </w:p>
          <w:p w:rsidR="009303F4" w:rsidRDefault="009303F4" w:rsidP="00C35183">
            <w:pPr>
              <w:ind w:left="720"/>
              <w:rPr>
                <w:sz w:val="20"/>
                <w:szCs w:val="20"/>
              </w:rPr>
            </w:pPr>
            <w:r w:rsidRPr="009303F4">
              <w:rPr>
                <w:sz w:val="20"/>
                <w:szCs w:val="20"/>
              </w:rPr>
              <w:t>Often times, there are warning signs an employer can look for when they suspect a person is embezzling from the company. This requires a check to ensure the employee is not having any mail, specifically bills or invoices, rerouted to a personal residence or private mail box. Other warning signs of embezzlement include the receipt of delinquent taxes notifications, or cash reserves slowly depleting.</w:t>
            </w:r>
          </w:p>
          <w:p w:rsidR="009303F4" w:rsidRDefault="009303F4" w:rsidP="00C35183">
            <w:pPr>
              <w:ind w:left="720"/>
              <w:rPr>
                <w:sz w:val="20"/>
                <w:szCs w:val="20"/>
              </w:rPr>
            </w:pPr>
          </w:p>
          <w:p w:rsidR="009303F4" w:rsidRPr="009303F4" w:rsidRDefault="009303F4" w:rsidP="00C35183">
            <w:pPr>
              <w:ind w:left="720"/>
              <w:rPr>
                <w:rFonts w:cs="Arial"/>
                <w:color w:val="000000" w:themeColor="text1"/>
                <w:sz w:val="20"/>
                <w:szCs w:val="20"/>
              </w:rPr>
            </w:pPr>
            <w:r w:rsidRPr="009303F4">
              <w:rPr>
                <w:sz w:val="20"/>
                <w:szCs w:val="20"/>
              </w:rPr>
              <w:t xml:space="preserve">Some of the famous cases include of </w:t>
            </w:r>
            <w:r w:rsidRPr="009303F4">
              <w:rPr>
                <w:sz w:val="20"/>
                <w:szCs w:val="20"/>
              </w:rPr>
              <w:t>Bernie Madoff, founder of Wall Street firm Bernard L. Madoff Investment Securities LLC, constructed a fraudulent investment scheme</w:t>
            </w:r>
            <w:r w:rsidRPr="009303F4">
              <w:rPr>
                <w:sz w:val="20"/>
                <w:szCs w:val="20"/>
              </w:rPr>
              <w:t xml:space="preserve"> now known as the “Ponzi Scheme</w:t>
            </w:r>
            <w:r w:rsidRPr="009303F4">
              <w:rPr>
                <w:sz w:val="20"/>
                <w:szCs w:val="20"/>
              </w:rPr>
              <w:t>”</w:t>
            </w:r>
            <w:r w:rsidRPr="009303F4">
              <w:rPr>
                <w:sz w:val="20"/>
                <w:szCs w:val="20"/>
              </w:rPr>
              <w:t xml:space="preserve">, (named after Charles Ponzi). </w:t>
            </w:r>
            <w:r w:rsidRPr="009303F4">
              <w:rPr>
                <w:sz w:val="20"/>
                <w:szCs w:val="20"/>
              </w:rPr>
              <w:t>Madoff plead guilty to embezzlement of more than 50 billion dollars through his Ponzi scheme</w:t>
            </w:r>
            <w:r w:rsidRPr="009303F4">
              <w:rPr>
                <w:sz w:val="20"/>
                <w:szCs w:val="20"/>
              </w:rPr>
              <w:t>. Darryl McCauley and his wife stole monies amounting to $12 million from the comedian Dane Cook for a period from 2004 to 2008. The crimes were only discovered when cook hired another manager in 2008.</w:t>
            </w:r>
          </w:p>
          <w:p w:rsidR="00C35183" w:rsidRPr="009A124C" w:rsidRDefault="00C35183" w:rsidP="00C35183">
            <w:pPr>
              <w:ind w:left="720"/>
              <w:rPr>
                <w:rFonts w:cs="Arial"/>
                <w:sz w:val="20"/>
                <w:szCs w:val="20"/>
              </w:rPr>
            </w:pPr>
          </w:p>
          <w:p w:rsidR="00C35183" w:rsidRPr="00165002" w:rsidRDefault="00C35183" w:rsidP="00C35183">
            <w:pPr>
              <w:pStyle w:val="ListParagraph"/>
              <w:numPr>
                <w:ilvl w:val="0"/>
                <w:numId w:val="2"/>
              </w:numPr>
              <w:spacing w:after="160" w:line="259" w:lineRule="auto"/>
              <w:rPr>
                <w:rFonts w:cs="Arial"/>
                <w:sz w:val="20"/>
                <w:szCs w:val="20"/>
              </w:rPr>
            </w:pPr>
            <w:r w:rsidRPr="009A124C">
              <w:rPr>
                <w:rFonts w:cs="Arial"/>
                <w:sz w:val="20"/>
                <w:szCs w:val="20"/>
              </w:rPr>
              <w:t>Forgery is</w:t>
            </w:r>
            <w:r w:rsidR="00AD73F4">
              <w:rPr>
                <w:rFonts w:cs="Arial"/>
                <w:sz w:val="20"/>
                <w:szCs w:val="20"/>
              </w:rPr>
              <w:t xml:space="preserve"> criminal act of </w:t>
            </w:r>
            <w:r w:rsidR="00165002">
              <w:rPr>
                <w:rFonts w:cs="Arial"/>
                <w:sz w:val="20"/>
                <w:szCs w:val="20"/>
              </w:rPr>
              <w:t xml:space="preserve">faking </w:t>
            </w:r>
            <w:r w:rsidR="00165002" w:rsidRPr="009A124C">
              <w:rPr>
                <w:rFonts w:cs="Arial"/>
                <w:sz w:val="20"/>
                <w:szCs w:val="20"/>
              </w:rPr>
              <w:t>a</w:t>
            </w:r>
            <w:r w:rsidRPr="009A124C">
              <w:rPr>
                <w:rFonts w:cs="Arial"/>
                <w:sz w:val="20"/>
                <w:szCs w:val="20"/>
              </w:rPr>
              <w:t xml:space="preserve"> signature </w:t>
            </w:r>
            <w:r w:rsidRPr="009A124C">
              <w:rPr>
                <w:rFonts w:cs="Arial"/>
                <w:sz w:val="20"/>
                <w:szCs w:val="20"/>
                <w:u w:val="single"/>
              </w:rPr>
              <w:t>without permission</w:t>
            </w:r>
            <w:r w:rsidRPr="009A124C">
              <w:rPr>
                <w:rFonts w:cs="Arial"/>
                <w:sz w:val="20"/>
                <w:szCs w:val="20"/>
              </w:rPr>
              <w:t>, making a false document or changing an existing document without authorization. The most common form of forgery is signing someone else’s name to a check but objects, data and documents can also be forged. Legal documents and contracts, diplomas, licenses, certificates and identification cards can also be forged.</w:t>
            </w:r>
            <w:r w:rsidRPr="009A124C">
              <w:t xml:space="preserve"> </w:t>
            </w:r>
            <w:r w:rsidRPr="009A124C">
              <w:rPr>
                <w:sz w:val="20"/>
                <w:szCs w:val="20"/>
              </w:rPr>
              <w:t xml:space="preserve">Typical examples of forgery are making insertions or alterations in otherwise valid documents and appending another's signature to a document without permission. It is, of course, lawful to sign another's signature as his attorney or representative </w:t>
            </w:r>
            <w:r w:rsidRPr="009A124C">
              <w:rPr>
                <w:b/>
                <w:sz w:val="20"/>
                <w:szCs w:val="20"/>
                <w:u w:val="single"/>
              </w:rPr>
              <w:t>so long</w:t>
            </w:r>
            <w:r w:rsidRPr="009A124C">
              <w:rPr>
                <w:sz w:val="20"/>
                <w:szCs w:val="20"/>
              </w:rPr>
              <w:t xml:space="preserve"> as there is no plan to commit fraud. Most instances of forgery occur in connection with instruments for the payment of money</w:t>
            </w:r>
            <w:r w:rsidRPr="009A124C">
              <w:t>.</w:t>
            </w:r>
            <w:r w:rsidR="00165002">
              <w:t xml:space="preserve"> </w:t>
            </w:r>
            <w:r w:rsidR="00165002" w:rsidRPr="00165002">
              <w:rPr>
                <w:sz w:val="20"/>
                <w:szCs w:val="20"/>
              </w:rPr>
              <w:t>In order for the judicial system to charge a person with forgery, certain elements or factor must be in place. If one or more of the elements is missing, it can result in different charges.</w:t>
            </w:r>
            <w:r w:rsidR="00165002">
              <w:t xml:space="preserve"> </w:t>
            </w:r>
            <w:r w:rsidR="00165002" w:rsidRPr="00165002">
              <w:rPr>
                <w:sz w:val="20"/>
                <w:szCs w:val="20"/>
              </w:rPr>
              <w:t>In forgery cases, the individual must have made, altered, used, or possessed a false writing at some point in time. This is not just limited to writing letters or documents as altering existing documents is also forgery if it is done in an attempt to gain or deceive another person. This includes changing or adding the signature on a document, but also includes deleting it.</w:t>
            </w:r>
            <w:r w:rsidR="00165002">
              <w:rPr>
                <w:sz w:val="20"/>
                <w:szCs w:val="20"/>
              </w:rPr>
              <w:t xml:space="preserve"> Examples of fraudster are the likes of David Stein in the 1960s who sold painting that he claimed were done by European artists until of the artist Marc Chagall in 1967 discovered his name on paintings he never done. </w:t>
            </w:r>
          </w:p>
          <w:p w:rsidR="00C35183" w:rsidRPr="009A124C" w:rsidRDefault="00C35183" w:rsidP="00C35183">
            <w:pPr>
              <w:pStyle w:val="ListParagraph"/>
              <w:rPr>
                <w:rFonts w:cs="Arial"/>
                <w:sz w:val="20"/>
                <w:szCs w:val="20"/>
              </w:rPr>
            </w:pPr>
          </w:p>
          <w:p w:rsidR="00C35183" w:rsidRPr="009A124C" w:rsidRDefault="00C35183" w:rsidP="00C35183">
            <w:pPr>
              <w:pStyle w:val="ListParagraph"/>
              <w:rPr>
                <w:rFonts w:cs="Arial"/>
                <w:sz w:val="20"/>
                <w:szCs w:val="20"/>
              </w:rPr>
            </w:pPr>
            <w:r w:rsidRPr="009A124C">
              <w:rPr>
                <w:rFonts w:cs="Arial"/>
                <w:sz w:val="20"/>
                <w:szCs w:val="20"/>
              </w:rPr>
              <w:t>Uttering on the other hand is the passing or making use of a forged writing or document with knowledge of its forged nature. Uttering is a crime usually charged in conjunction with a forgery. Utter means and includes using and dealing with and attempting to use or deal with and attempting to induce any person to use, deal with or act upon the thing in question. The uttering must have been done with intent to defraud. It is not necessary to prove an intent to defraud any particular person. Falsification of information on employment applications has also been held to involve uttering. The elements of the crime of uttering include, a) passing or making use – this is any putting into circulation a writing or document that involves forgery, b) intent to fraud and, c) knowledge of forgery – suspicion of something unusual may satisfy this element.</w:t>
            </w:r>
          </w:p>
          <w:p w:rsidR="00C35183" w:rsidRPr="009A124C" w:rsidRDefault="00C35183" w:rsidP="00C35183">
            <w:pPr>
              <w:pStyle w:val="ListParagraph"/>
              <w:rPr>
                <w:rFonts w:cs="Arial"/>
                <w:sz w:val="20"/>
                <w:szCs w:val="20"/>
              </w:rPr>
            </w:pPr>
          </w:p>
          <w:p w:rsidR="00C35183" w:rsidRDefault="00C35183" w:rsidP="00C35183">
            <w:pPr>
              <w:pStyle w:val="NormalWeb"/>
              <w:rPr>
                <w:rFonts w:asciiTheme="minorHAnsi" w:hAnsiTheme="minorHAnsi" w:cs="Arial"/>
                <w:b/>
                <w:sz w:val="20"/>
                <w:szCs w:val="20"/>
                <w:u w:val="single"/>
              </w:rPr>
            </w:pPr>
            <w:r w:rsidRPr="009A124C">
              <w:rPr>
                <w:rFonts w:asciiTheme="minorHAnsi" w:hAnsiTheme="minorHAnsi" w:cs="Arial"/>
                <w:sz w:val="20"/>
                <w:szCs w:val="20"/>
              </w:rPr>
              <w:lastRenderedPageBreak/>
              <w:t xml:space="preserve"> </w:t>
            </w:r>
            <w:r w:rsidRPr="00A97972">
              <w:rPr>
                <w:rFonts w:asciiTheme="minorHAnsi" w:hAnsiTheme="minorHAnsi" w:cs="Arial"/>
                <w:b/>
                <w:sz w:val="20"/>
                <w:szCs w:val="20"/>
                <w:u w:val="single"/>
              </w:rPr>
              <w:t>CASE STUDY</w:t>
            </w:r>
          </w:p>
          <w:p w:rsidR="00C35183" w:rsidRPr="0005297B" w:rsidRDefault="00C35183" w:rsidP="00C35183">
            <w:pPr>
              <w:pStyle w:val="NoSpacing"/>
              <w:rPr>
                <w:sz w:val="20"/>
                <w:szCs w:val="20"/>
              </w:rPr>
            </w:pPr>
            <w:r w:rsidRPr="0005297B">
              <w:rPr>
                <w:sz w:val="20"/>
                <w:szCs w:val="20"/>
              </w:rPr>
              <w:t xml:space="preserve">The case study is a case of money laundering. The forensic accounting investigating the case should have a sound knowledge and experience in case of money laundering. Money laundering poses a serious threat worldwide in terms of national and international security, as well as political, economic, financial and social disruptions. Since money laundering is the processing of the criminal proceeds to conceal their illegal origin, the objective of the launderer is to disguise the illicit origin of the substantial profits generated by the criminal activity so that such profits can be used as if they were derived from a legitimate source. There are three stages involved in the process of money laundering. </w:t>
            </w:r>
          </w:p>
          <w:p w:rsidR="00C35183" w:rsidRPr="0005297B" w:rsidRDefault="00C35183" w:rsidP="00C35183">
            <w:pPr>
              <w:pStyle w:val="NoSpacing"/>
              <w:numPr>
                <w:ilvl w:val="0"/>
                <w:numId w:val="3"/>
              </w:numPr>
              <w:rPr>
                <w:sz w:val="20"/>
                <w:szCs w:val="20"/>
              </w:rPr>
            </w:pPr>
            <w:r w:rsidRPr="0005297B">
              <w:rPr>
                <w:sz w:val="20"/>
                <w:szCs w:val="20"/>
              </w:rPr>
              <w:t>Placement – this is the first stage where cash enters the financial system. This is the nerve center of the procedure, where the launderer in more vulnerable and the attempt to launder can easily be identified.</w:t>
            </w:r>
          </w:p>
          <w:p w:rsidR="00C35183" w:rsidRPr="0005297B" w:rsidRDefault="00C35183" w:rsidP="00C35183">
            <w:pPr>
              <w:pStyle w:val="NoSpacing"/>
              <w:numPr>
                <w:ilvl w:val="0"/>
                <w:numId w:val="3"/>
              </w:numPr>
              <w:rPr>
                <w:sz w:val="20"/>
                <w:szCs w:val="20"/>
              </w:rPr>
            </w:pPr>
            <w:r w:rsidRPr="0005297B">
              <w:rPr>
                <w:sz w:val="20"/>
                <w:szCs w:val="20"/>
              </w:rPr>
              <w:t>Layering – is where the money is involved in a number of transactions so that the tracing of the origin of the money is lost.</w:t>
            </w:r>
          </w:p>
          <w:p w:rsidR="00C35183" w:rsidRDefault="00C35183" w:rsidP="00C35183">
            <w:pPr>
              <w:pStyle w:val="NoSpacing"/>
              <w:numPr>
                <w:ilvl w:val="0"/>
                <w:numId w:val="3"/>
              </w:numPr>
              <w:rPr>
                <w:sz w:val="20"/>
                <w:szCs w:val="20"/>
              </w:rPr>
            </w:pPr>
            <w:r w:rsidRPr="0005297B">
              <w:rPr>
                <w:sz w:val="20"/>
                <w:szCs w:val="20"/>
              </w:rPr>
              <w:t>Integration – is the final stage where money is mixed with lawful funds or integrated back into the economy with the appearance of legitimacy.</w:t>
            </w:r>
          </w:p>
          <w:p w:rsidR="009303F4" w:rsidRPr="0005297B" w:rsidRDefault="009303F4" w:rsidP="009303F4">
            <w:pPr>
              <w:pStyle w:val="NoSpacing"/>
              <w:ind w:left="720"/>
              <w:rPr>
                <w:sz w:val="20"/>
                <w:szCs w:val="20"/>
              </w:rPr>
            </w:pPr>
          </w:p>
          <w:p w:rsidR="00C35183" w:rsidRPr="0005297B" w:rsidRDefault="00C35183" w:rsidP="00C35183">
            <w:pPr>
              <w:pStyle w:val="NoSpacing"/>
              <w:rPr>
                <w:sz w:val="20"/>
                <w:szCs w:val="20"/>
              </w:rPr>
            </w:pPr>
            <w:r w:rsidRPr="0005297B">
              <w:rPr>
                <w:sz w:val="20"/>
                <w:szCs w:val="20"/>
              </w:rPr>
              <w:t>So with reference to the case study, the stages can be illustrated using a diagram as follows based on assumptions of the ongoing investigation which might be of narcotics trafficking (assumption).</w:t>
            </w:r>
          </w:p>
          <w:p w:rsidR="00C35183" w:rsidRDefault="00C35183" w:rsidP="009303F4">
            <w:pPr>
              <w:rPr>
                <w:sz w:val="20"/>
                <w:szCs w:val="20"/>
              </w:rPr>
            </w:pPr>
          </w:p>
          <w:p w:rsidR="00C35183" w:rsidRDefault="00C35183" w:rsidP="00C35183">
            <w:pPr>
              <w:ind w:left="720"/>
              <w:rPr>
                <w:sz w:val="20"/>
                <w:szCs w:val="20"/>
              </w:rPr>
            </w:pPr>
          </w:p>
          <w:p w:rsidR="00C35183" w:rsidRDefault="00C35183" w:rsidP="00C35183">
            <w:pPr>
              <w:rPr>
                <w:sz w:val="20"/>
                <w:szCs w:val="20"/>
              </w:rPr>
            </w:pPr>
          </w:p>
          <w:tbl>
            <w:tblPr>
              <w:tblStyle w:val="TableGrid"/>
              <w:tblpPr w:leftFromText="180" w:rightFromText="180" w:vertAnchor="text" w:horzAnchor="margin" w:tblpXSpec="center" w:tblpY="-192"/>
              <w:tblOverlap w:val="never"/>
              <w:tblW w:w="0" w:type="auto"/>
              <w:tblLook w:val="04A0" w:firstRow="1" w:lastRow="0" w:firstColumn="1" w:lastColumn="0" w:noHBand="0" w:noVBand="1"/>
            </w:tblPr>
            <w:tblGrid>
              <w:gridCol w:w="1885"/>
            </w:tblGrid>
            <w:tr w:rsidR="00C35183" w:rsidTr="00C35183">
              <w:trPr>
                <w:trHeight w:val="348"/>
              </w:trPr>
              <w:tc>
                <w:tcPr>
                  <w:tcW w:w="1885" w:type="dxa"/>
                </w:tcPr>
                <w:p w:rsidR="00C35183" w:rsidRDefault="00C35183" w:rsidP="00C35183">
                  <w:pPr>
                    <w:jc w:val="center"/>
                    <w:rPr>
                      <w:sz w:val="20"/>
                      <w:szCs w:val="20"/>
                    </w:rPr>
                  </w:pPr>
                  <w:r>
                    <w:rPr>
                      <w:sz w:val="20"/>
                      <w:szCs w:val="20"/>
                    </w:rPr>
                    <w:t>CASH $10 MILLION</w:t>
                  </w:r>
                </w:p>
              </w:tc>
            </w:tr>
          </w:tbl>
          <w:p w:rsidR="00C35183" w:rsidRPr="009A124C" w:rsidRDefault="00C35183" w:rsidP="00C35183">
            <w:pPr>
              <w:ind w:left="720"/>
              <w:rPr>
                <w:sz w:val="20"/>
                <w:szCs w:val="20"/>
              </w:rPr>
            </w:pPr>
            <w:r>
              <w:rPr>
                <w:noProof/>
                <w:sz w:val="20"/>
                <w:szCs w:val="20"/>
              </w:rPr>
              <mc:AlternateContent>
                <mc:Choice Requires="wps">
                  <w:drawing>
                    <wp:anchor distT="0" distB="0" distL="114300" distR="114300" simplePos="0" relativeHeight="251661312" behindDoc="0" locked="0" layoutInCell="1" allowOverlap="1">
                      <wp:simplePos x="0" y="0"/>
                      <wp:positionH relativeFrom="column">
                        <wp:posOffset>2719212</wp:posOffset>
                      </wp:positionH>
                      <wp:positionV relativeFrom="paragraph">
                        <wp:posOffset>127322</wp:posOffset>
                      </wp:positionV>
                      <wp:extent cx="0" cy="327547"/>
                      <wp:effectExtent l="76200" t="0" r="76200" b="53975"/>
                      <wp:wrapNone/>
                      <wp:docPr id="14" name="Straight Arrow Connector 14"/>
                      <wp:cNvGraphicFramePr/>
                      <a:graphic xmlns:a="http://schemas.openxmlformats.org/drawingml/2006/main">
                        <a:graphicData uri="http://schemas.microsoft.com/office/word/2010/wordprocessingShape">
                          <wps:wsp>
                            <wps:cNvCnPr/>
                            <wps:spPr>
                              <a:xfrm>
                                <a:off x="0" y="0"/>
                                <a:ext cx="0" cy="3275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E498C3E" id="_x0000_t32" coordsize="21600,21600" o:spt="32" o:oned="t" path="m,l21600,21600e" filled="f">
                      <v:path arrowok="t" fillok="f" o:connecttype="none"/>
                      <o:lock v:ext="edit" shapetype="t"/>
                    </v:shapetype>
                    <v:shape id="Straight Arrow Connector 14" o:spid="_x0000_s1026" type="#_x0000_t32" style="position:absolute;margin-left:214.1pt;margin-top:10.05pt;width:0;height:25.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" strokecolor="#4579b8 [3044]">
                      <v:stroke endarrow="block"/>
                    </v:shape>
                  </w:pict>
                </mc:Fallback>
              </mc:AlternateContent>
            </w:r>
          </w:p>
          <w:p w:rsidR="00C35183" w:rsidRDefault="00C35183" w:rsidP="00C35183">
            <w:pPr>
              <w:rPr>
                <w:rFonts w:eastAsia="Times New Roman" w:cs="Times New Roman"/>
                <w:sz w:val="20"/>
                <w:szCs w:val="20"/>
              </w:rPr>
            </w:pPr>
          </w:p>
          <w:p w:rsidR="00C35183" w:rsidRDefault="00C35183" w:rsidP="00C35183">
            <w:pPr>
              <w:rPr>
                <w:rFonts w:eastAsia="Times New Roman" w:cs="Times New Roman"/>
                <w:sz w:val="20"/>
                <w:szCs w:val="20"/>
              </w:rPr>
            </w:pPr>
          </w:p>
          <w:tbl>
            <w:tblPr>
              <w:tblStyle w:val="TableGrid"/>
              <w:tblpPr w:leftFromText="180" w:rightFromText="180" w:vertAnchor="text" w:horzAnchor="margin" w:tblpXSpec="center" w:tblpY="-32"/>
              <w:tblOverlap w:val="never"/>
              <w:tblW w:w="0" w:type="auto"/>
              <w:tblLook w:val="04A0" w:firstRow="1" w:lastRow="0" w:firstColumn="1" w:lastColumn="0" w:noHBand="0" w:noVBand="1"/>
            </w:tblPr>
            <w:tblGrid>
              <w:gridCol w:w="1890"/>
            </w:tblGrid>
            <w:tr w:rsidR="00C35183" w:rsidTr="00C35183">
              <w:trPr>
                <w:trHeight w:val="278"/>
              </w:trPr>
              <w:tc>
                <w:tcPr>
                  <w:tcW w:w="1890" w:type="dxa"/>
                </w:tcPr>
                <w:p w:rsidR="00C35183" w:rsidRDefault="00C35183" w:rsidP="00C35183">
                  <w:pPr>
                    <w:jc w:val="center"/>
                    <w:rPr>
                      <w:rFonts w:eastAsia="Times New Roman" w:cs="Times New Roman"/>
                      <w:color w:val="000000"/>
                      <w:sz w:val="20"/>
                      <w:szCs w:val="20"/>
                    </w:rPr>
                  </w:pPr>
                  <w:r>
                    <w:rPr>
                      <w:rFonts w:eastAsia="Times New Roman" w:cs="Times New Roman"/>
                      <w:color w:val="000000"/>
                      <w:sz w:val="20"/>
                      <w:szCs w:val="20"/>
                    </w:rPr>
                    <w:t>BANK 1</w:t>
                  </w:r>
                </w:p>
              </w:tc>
            </w:tr>
          </w:tbl>
          <w:p w:rsidR="00C35183" w:rsidRPr="009A124C" w:rsidRDefault="00C35183" w:rsidP="00C35183">
            <w:pPr>
              <w:rPr>
                <w:rFonts w:eastAsia="Times New Roman" w:cs="Times New Roman"/>
                <w:sz w:val="20"/>
                <w:szCs w:val="20"/>
              </w:rPr>
            </w:pPr>
          </w:p>
          <w:p w:rsidR="00C35183" w:rsidRDefault="00C35183" w:rsidP="00C35183">
            <w:pPr>
              <w:shd w:val="clear" w:color="auto" w:fill="FFFFFF"/>
              <w:rPr>
                <w:rFonts w:eastAsia="Times New Roman" w:cs="Times New Roman"/>
                <w:color w:val="000000"/>
                <w:sz w:val="20"/>
                <w:szCs w:val="20"/>
              </w:rPr>
            </w:pPr>
            <w:r>
              <w:rPr>
                <w:rFonts w:eastAsia="Times New Roman" w:cs="Times New Roman"/>
                <w:noProof/>
                <w:color w:val="000000"/>
                <w:sz w:val="20"/>
                <w:szCs w:val="20"/>
              </w:rPr>
              <mc:AlternateContent>
                <mc:Choice Requires="wps">
                  <w:drawing>
                    <wp:anchor distT="0" distB="0" distL="114300" distR="114300" simplePos="0" relativeHeight="251664384" behindDoc="0" locked="0" layoutInCell="1" allowOverlap="1">
                      <wp:simplePos x="0" y="0"/>
                      <wp:positionH relativeFrom="column">
                        <wp:posOffset>2842041</wp:posOffset>
                      </wp:positionH>
                      <wp:positionV relativeFrom="paragraph">
                        <wp:posOffset>39190</wp:posOffset>
                      </wp:positionV>
                      <wp:extent cx="1630907" cy="381635"/>
                      <wp:effectExtent l="0" t="0" r="64770" b="75565"/>
                      <wp:wrapNone/>
                      <wp:docPr id="17" name="Straight Arrow Connector 17"/>
                      <wp:cNvGraphicFramePr/>
                      <a:graphic xmlns:a="http://schemas.openxmlformats.org/drawingml/2006/main">
                        <a:graphicData uri="http://schemas.microsoft.com/office/word/2010/wordprocessingShape">
                          <wps:wsp>
                            <wps:cNvCnPr/>
                            <wps:spPr>
                              <a:xfrm>
                                <a:off x="0" y="0"/>
                                <a:ext cx="1630907" cy="3816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512427" id="Straight Arrow Connector 17" o:spid="_x0000_s1026" type="#_x0000_t32" style="position:absolute;margin-left:223.8pt;margin-top:3.1pt;width:128.4pt;height:30.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" strokecolor="#4579b8 [3044]">
                      <v:stroke endarrow="block"/>
                    </v:shape>
                  </w:pict>
                </mc:Fallback>
              </mc:AlternateContent>
            </w:r>
            <w:r>
              <w:rPr>
                <w:rFonts w:eastAsia="Times New Roman" w:cs="Times New Roman"/>
                <w:noProof/>
                <w:color w:val="000000"/>
                <w:sz w:val="20"/>
                <w:szCs w:val="20"/>
              </w:rPr>
              <mc:AlternateContent>
                <mc:Choice Requires="wps">
                  <w:drawing>
                    <wp:anchor distT="0" distB="0" distL="114300" distR="114300" simplePos="0" relativeHeight="251663360" behindDoc="0" locked="0" layoutInCell="1" allowOverlap="1">
                      <wp:simplePos x="0" y="0"/>
                      <wp:positionH relativeFrom="column">
                        <wp:posOffset>1101952</wp:posOffset>
                      </wp:positionH>
                      <wp:positionV relativeFrom="paragraph">
                        <wp:posOffset>39190</wp:posOffset>
                      </wp:positionV>
                      <wp:extent cx="1617260" cy="382137"/>
                      <wp:effectExtent l="38100" t="0" r="21590" b="75565"/>
                      <wp:wrapNone/>
                      <wp:docPr id="16" name="Straight Arrow Connector 16"/>
                      <wp:cNvGraphicFramePr/>
                      <a:graphic xmlns:a="http://schemas.openxmlformats.org/drawingml/2006/main">
                        <a:graphicData uri="http://schemas.microsoft.com/office/word/2010/wordprocessingShape">
                          <wps:wsp>
                            <wps:cNvCnPr/>
                            <wps:spPr>
                              <a:xfrm flipH="1">
                                <a:off x="0" y="0"/>
                                <a:ext cx="1617260" cy="3821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C36834" id="Straight Arrow Connector 16" o:spid="_x0000_s1026" type="#_x0000_t32" style="position:absolute;margin-left:86.75pt;margin-top:3.1pt;width:127.35pt;height:30.1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" strokecolor="#4579b8 [3044]">
                      <v:stroke endarrow="block"/>
                    </v:shape>
                  </w:pict>
                </mc:Fallback>
              </mc:AlternateContent>
            </w:r>
            <w:r>
              <w:rPr>
                <w:rFonts w:eastAsia="Times New Roman" w:cs="Times New Roman"/>
                <w:noProof/>
                <w:color w:val="000000"/>
                <w:sz w:val="20"/>
                <w:szCs w:val="20"/>
              </w:rPr>
              <mc:AlternateContent>
                <mc:Choice Requires="wps">
                  <w:drawing>
                    <wp:anchor distT="0" distB="0" distL="114300" distR="114300" simplePos="0" relativeHeight="251662336" behindDoc="0" locked="0" layoutInCell="1" allowOverlap="1">
                      <wp:simplePos x="0" y="0"/>
                      <wp:positionH relativeFrom="column">
                        <wp:posOffset>2773803</wp:posOffset>
                      </wp:positionH>
                      <wp:positionV relativeFrom="paragraph">
                        <wp:posOffset>39190</wp:posOffset>
                      </wp:positionV>
                      <wp:extent cx="0" cy="436728"/>
                      <wp:effectExtent l="76200" t="0" r="57150" b="59055"/>
                      <wp:wrapNone/>
                      <wp:docPr id="15" name="Straight Arrow Connector 15"/>
                      <wp:cNvGraphicFramePr/>
                      <a:graphic xmlns:a="http://schemas.openxmlformats.org/drawingml/2006/main">
                        <a:graphicData uri="http://schemas.microsoft.com/office/word/2010/wordprocessingShape">
                          <wps:wsp>
                            <wps:cNvCnPr/>
                            <wps:spPr>
                              <a:xfrm>
                                <a:off x="0" y="0"/>
                                <a:ext cx="0" cy="4367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EF956B" id="Straight Arrow Connector 15" o:spid="_x0000_s1026" type="#_x0000_t32" style="position:absolute;margin-left:218.4pt;margin-top:3.1pt;width:0;height:34.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" strokecolor="#4579b8 [3044]">
                      <v:stroke endarrow="block"/>
                    </v:shape>
                  </w:pict>
                </mc:Fallback>
              </mc:AlternateContent>
            </w: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r>
              <w:rPr>
                <w:noProof/>
                <w:sz w:val="20"/>
                <w:szCs w:val="20"/>
              </w:rPr>
              <mc:AlternateContent>
                <mc:Choice Requires="wps">
                  <w:drawing>
                    <wp:anchor distT="0" distB="0" distL="114300" distR="114300" simplePos="0" relativeHeight="251670528" behindDoc="0" locked="0" layoutInCell="1" allowOverlap="1">
                      <wp:simplePos x="0" y="0"/>
                      <wp:positionH relativeFrom="column">
                        <wp:posOffset>4759552</wp:posOffset>
                      </wp:positionH>
                      <wp:positionV relativeFrom="paragraph">
                        <wp:posOffset>268396</wp:posOffset>
                      </wp:positionV>
                      <wp:extent cx="498144" cy="518142"/>
                      <wp:effectExtent l="0" t="0" r="73660" b="53975"/>
                      <wp:wrapNone/>
                      <wp:docPr id="23" name="Straight Arrow Connector 23"/>
                      <wp:cNvGraphicFramePr/>
                      <a:graphic xmlns:a="http://schemas.openxmlformats.org/drawingml/2006/main">
                        <a:graphicData uri="http://schemas.microsoft.com/office/word/2010/wordprocessingShape">
                          <wps:wsp>
                            <wps:cNvCnPr/>
                            <wps:spPr>
                              <a:xfrm>
                                <a:off x="0" y="0"/>
                                <a:ext cx="498144" cy="5181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F741AD" id="Straight Arrow Connector 23" o:spid="_x0000_s1026" type="#_x0000_t32" style="position:absolute;margin-left:374.75pt;margin-top:21.15pt;width:39.2pt;height:40.8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" strokecolor="#4579b8 [3044]">
                      <v:stroke endarrow="block"/>
                    </v:shape>
                  </w:pict>
                </mc:Fallback>
              </mc:AlternateContent>
            </w:r>
            <w:r>
              <w:rPr>
                <w:noProof/>
                <w:sz w:val="20"/>
                <w:szCs w:val="20"/>
              </w:rPr>
              <mc:AlternateContent>
                <mc:Choice Requires="wps">
                  <w:drawing>
                    <wp:anchor distT="0" distB="0" distL="114300" distR="114300" simplePos="0" relativeHeight="251669504" behindDoc="0" locked="0" layoutInCell="1" allowOverlap="1">
                      <wp:simplePos x="0" y="0"/>
                      <wp:positionH relativeFrom="column">
                        <wp:posOffset>4384239</wp:posOffset>
                      </wp:positionH>
                      <wp:positionV relativeFrom="paragraph">
                        <wp:posOffset>268396</wp:posOffset>
                      </wp:positionV>
                      <wp:extent cx="341194" cy="552735"/>
                      <wp:effectExtent l="38100" t="0" r="20955" b="57150"/>
                      <wp:wrapNone/>
                      <wp:docPr id="22" name="Straight Arrow Connector 22"/>
                      <wp:cNvGraphicFramePr/>
                      <a:graphic xmlns:a="http://schemas.openxmlformats.org/drawingml/2006/main">
                        <a:graphicData uri="http://schemas.microsoft.com/office/word/2010/wordprocessingShape">
                          <wps:wsp>
                            <wps:cNvCnPr/>
                            <wps:spPr>
                              <a:xfrm flipH="1">
                                <a:off x="0" y="0"/>
                                <a:ext cx="341194" cy="5527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076233" id="Straight Arrow Connector 22" o:spid="_x0000_s1026" type="#_x0000_t32" style="position:absolute;margin-left:345.2pt;margin-top:21.15pt;width:26.85pt;height:43.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" strokecolor="#4579b8 [3044]">
                      <v:stroke endarrow="block"/>
                    </v:shape>
                  </w:pict>
                </mc:Fallback>
              </mc:AlternateContent>
            </w:r>
            <w:r>
              <w:rPr>
                <w:noProof/>
                <w:sz w:val="20"/>
                <w:szCs w:val="20"/>
              </w:rPr>
              <mc:AlternateContent>
                <mc:Choice Requires="wps">
                  <w:drawing>
                    <wp:anchor distT="0" distB="0" distL="114300" distR="114300" simplePos="0" relativeHeight="251668480" behindDoc="0" locked="0" layoutInCell="1" allowOverlap="1" wp14:anchorId="2F356053" wp14:editId="2DBD19F5">
                      <wp:simplePos x="0" y="0"/>
                      <wp:positionH relativeFrom="column">
                        <wp:posOffset>2842042</wp:posOffset>
                      </wp:positionH>
                      <wp:positionV relativeFrom="paragraph">
                        <wp:posOffset>268396</wp:posOffset>
                      </wp:positionV>
                      <wp:extent cx="470848" cy="517525"/>
                      <wp:effectExtent l="0" t="0" r="81915" b="53975"/>
                      <wp:wrapNone/>
                      <wp:docPr id="21" name="Straight Arrow Connector 21"/>
                      <wp:cNvGraphicFramePr/>
                      <a:graphic xmlns:a="http://schemas.openxmlformats.org/drawingml/2006/main">
                        <a:graphicData uri="http://schemas.microsoft.com/office/word/2010/wordprocessingShape">
                          <wps:wsp>
                            <wps:cNvCnPr/>
                            <wps:spPr>
                              <a:xfrm>
                                <a:off x="0" y="0"/>
                                <a:ext cx="470848" cy="517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84F5AC" id="Straight Arrow Connector 21" o:spid="_x0000_s1026" type="#_x0000_t32" style="position:absolute;margin-left:223.8pt;margin-top:21.15pt;width:37.05pt;height:4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" strokecolor="#4579b8 [3044]">
                      <v:stroke endarrow="block"/>
                    </v:shape>
                  </w:pict>
                </mc:Fallback>
              </mc:AlternateContent>
            </w:r>
            <w:r>
              <w:rPr>
                <w:rFonts w:eastAsia="Times New Roman" w:cs="Times New Roman"/>
                <w:noProof/>
                <w:color w:val="000000"/>
                <w:sz w:val="20"/>
                <w:szCs w:val="20"/>
              </w:rPr>
              <mc:AlternateContent>
                <mc:Choice Requires="wps">
                  <w:drawing>
                    <wp:anchor distT="0" distB="0" distL="114300" distR="114300" simplePos="0" relativeHeight="251667456" behindDoc="0" locked="0" layoutInCell="1" allowOverlap="1" wp14:anchorId="3AE4748A" wp14:editId="6957B2F0">
                      <wp:simplePos x="0" y="0"/>
                      <wp:positionH relativeFrom="column">
                        <wp:posOffset>2603206</wp:posOffset>
                      </wp:positionH>
                      <wp:positionV relativeFrom="paragraph">
                        <wp:posOffset>268396</wp:posOffset>
                      </wp:positionV>
                      <wp:extent cx="170597" cy="518142"/>
                      <wp:effectExtent l="38100" t="0" r="20320" b="53975"/>
                      <wp:wrapNone/>
                      <wp:docPr id="20" name="Straight Arrow Connector 20"/>
                      <wp:cNvGraphicFramePr/>
                      <a:graphic xmlns:a="http://schemas.openxmlformats.org/drawingml/2006/main">
                        <a:graphicData uri="http://schemas.microsoft.com/office/word/2010/wordprocessingShape">
                          <wps:wsp>
                            <wps:cNvCnPr/>
                            <wps:spPr>
                              <a:xfrm flipH="1">
                                <a:off x="0" y="0"/>
                                <a:ext cx="170597" cy="5181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BABE84" id="Straight Arrow Connector 20" o:spid="_x0000_s1026" type="#_x0000_t32" style="position:absolute;margin-left:205pt;margin-top:21.15pt;width:13.45pt;height:40.8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" strokecolor="#4579b8 [3044]">
                      <v:stroke endarrow="block"/>
                    </v:shape>
                  </w:pict>
                </mc:Fallback>
              </mc:AlternateContent>
            </w:r>
            <w:r w:rsidRPr="009A124C">
              <w:rPr>
                <w:rFonts w:eastAsia="Times New Roman" w:cs="Times New Roman"/>
                <w:color w:val="000000"/>
                <w:sz w:val="20"/>
                <w:szCs w:val="20"/>
              </w:rPr>
              <w:br/>
            </w:r>
            <w:r>
              <w:rPr>
                <w:sz w:val="20"/>
                <w:szCs w:val="20"/>
              </w:rPr>
              <w:tab/>
              <w:t xml:space="preserve">     COMPANY 1                                             COMPANY 2</w:t>
            </w:r>
            <w:r>
              <w:rPr>
                <w:sz w:val="20"/>
                <w:szCs w:val="20"/>
              </w:rPr>
              <w:tab/>
              <w:t xml:space="preserve">                                         COMPANY 3</w:t>
            </w:r>
          </w:p>
          <w:p w:rsidR="00C35183" w:rsidRDefault="00C35183" w:rsidP="00C35183">
            <w:pPr>
              <w:shd w:val="clear" w:color="auto" w:fill="FFFFFF"/>
              <w:rPr>
                <w:sz w:val="20"/>
                <w:szCs w:val="20"/>
              </w:rPr>
            </w:pPr>
            <w:r>
              <w:rPr>
                <w:noProof/>
                <w:sz w:val="20"/>
                <w:szCs w:val="20"/>
              </w:rPr>
              <mc:AlternateContent>
                <mc:Choice Requires="wps">
                  <w:drawing>
                    <wp:anchor distT="0" distB="0" distL="114300" distR="114300" simplePos="0" relativeHeight="251666432" behindDoc="0" locked="0" layoutInCell="1" allowOverlap="1">
                      <wp:simplePos x="0" y="0"/>
                      <wp:positionH relativeFrom="column">
                        <wp:posOffset>897236</wp:posOffset>
                      </wp:positionH>
                      <wp:positionV relativeFrom="paragraph">
                        <wp:posOffset>13108</wp:posOffset>
                      </wp:positionV>
                      <wp:extent cx="566382" cy="409432"/>
                      <wp:effectExtent l="0" t="0" r="81915" b="48260"/>
                      <wp:wrapNone/>
                      <wp:docPr id="19" name="Straight Arrow Connector 19"/>
                      <wp:cNvGraphicFramePr/>
                      <a:graphic xmlns:a="http://schemas.openxmlformats.org/drawingml/2006/main">
                        <a:graphicData uri="http://schemas.microsoft.com/office/word/2010/wordprocessingShape">
                          <wps:wsp>
                            <wps:cNvCnPr/>
                            <wps:spPr>
                              <a:xfrm>
                                <a:off x="0" y="0"/>
                                <a:ext cx="566382" cy="4094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363B23" id="Straight Arrow Connector 19" o:spid="_x0000_s1026" type="#_x0000_t32" style="position:absolute;margin-left:70.65pt;margin-top:1.05pt;width:44.6pt;height:32.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" strokecolor="#4579b8 [3044]">
                      <v:stroke endarrow="block"/>
                    </v:shape>
                  </w:pict>
                </mc:Fallback>
              </mc:AlternateContent>
            </w:r>
            <w:r>
              <w:rPr>
                <w:noProof/>
                <w:sz w:val="20"/>
                <w:szCs w:val="20"/>
              </w:rPr>
              <mc:AlternateContent>
                <mc:Choice Requires="wps">
                  <w:drawing>
                    <wp:anchor distT="0" distB="0" distL="114300" distR="114300" simplePos="0" relativeHeight="251665408" behindDoc="0" locked="0" layoutInCell="1" allowOverlap="1">
                      <wp:simplePos x="0" y="0"/>
                      <wp:positionH relativeFrom="column">
                        <wp:posOffset>474155</wp:posOffset>
                      </wp:positionH>
                      <wp:positionV relativeFrom="paragraph">
                        <wp:posOffset>13108</wp:posOffset>
                      </wp:positionV>
                      <wp:extent cx="361666" cy="464023"/>
                      <wp:effectExtent l="38100" t="0" r="19685" b="50800"/>
                      <wp:wrapNone/>
                      <wp:docPr id="18" name="Straight Arrow Connector 18"/>
                      <wp:cNvGraphicFramePr/>
                      <a:graphic xmlns:a="http://schemas.openxmlformats.org/drawingml/2006/main">
                        <a:graphicData uri="http://schemas.microsoft.com/office/word/2010/wordprocessingShape">
                          <wps:wsp>
                            <wps:cNvCnPr/>
                            <wps:spPr>
                              <a:xfrm flipH="1">
                                <a:off x="0" y="0"/>
                                <a:ext cx="361666" cy="46402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D8C37C" id="Straight Arrow Connector 18" o:spid="_x0000_s1026" type="#_x0000_t32" style="position:absolute;margin-left:37.35pt;margin-top:1.05pt;width:28.5pt;height:36.5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" strokecolor="#4579b8 [3044]">
                      <v:stroke endarrow="block"/>
                    </v:shape>
                  </w:pict>
                </mc:Fallback>
              </mc:AlternateContent>
            </w: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r>
              <w:rPr>
                <w:sz w:val="20"/>
                <w:szCs w:val="20"/>
              </w:rPr>
              <w:t xml:space="preserve"> AGENT 1</w:t>
            </w:r>
            <w:r>
              <w:rPr>
                <w:sz w:val="20"/>
                <w:szCs w:val="20"/>
              </w:rPr>
              <w:tab/>
            </w:r>
            <w:r>
              <w:rPr>
                <w:sz w:val="20"/>
                <w:szCs w:val="20"/>
              </w:rPr>
              <w:tab/>
              <w:t>AGENT 2</w:t>
            </w:r>
            <w:r>
              <w:rPr>
                <w:sz w:val="20"/>
                <w:szCs w:val="20"/>
              </w:rPr>
              <w:tab/>
            </w:r>
            <w:r>
              <w:rPr>
                <w:sz w:val="20"/>
                <w:szCs w:val="20"/>
              </w:rPr>
              <w:tab/>
              <w:t>AGENT 3</w:t>
            </w:r>
            <w:r>
              <w:rPr>
                <w:sz w:val="20"/>
                <w:szCs w:val="20"/>
              </w:rPr>
              <w:tab/>
            </w:r>
            <w:r>
              <w:rPr>
                <w:sz w:val="20"/>
                <w:szCs w:val="20"/>
              </w:rPr>
              <w:tab/>
              <w:t xml:space="preserve">AGENT 4 </w:t>
            </w:r>
            <w:r>
              <w:rPr>
                <w:sz w:val="20"/>
                <w:szCs w:val="20"/>
              </w:rPr>
              <w:tab/>
              <w:t>AGENT 5</w:t>
            </w:r>
            <w:r>
              <w:rPr>
                <w:sz w:val="20"/>
                <w:szCs w:val="20"/>
              </w:rPr>
              <w:tab/>
            </w:r>
            <w:r>
              <w:rPr>
                <w:sz w:val="20"/>
                <w:szCs w:val="20"/>
              </w:rPr>
              <w:tab/>
              <w:t>AGENT 6</w:t>
            </w: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r>
              <w:rPr>
                <w:sz w:val="20"/>
                <w:szCs w:val="20"/>
              </w:rPr>
              <w:t>From the above diagram</w:t>
            </w:r>
            <w:r w:rsidRPr="004B032C">
              <w:rPr>
                <w:b/>
                <w:sz w:val="20"/>
                <w:szCs w:val="20"/>
                <w:u w:val="single"/>
              </w:rPr>
              <w:t>, based on assumptions</w:t>
            </w:r>
            <w:r>
              <w:rPr>
                <w:b/>
                <w:sz w:val="20"/>
                <w:szCs w:val="20"/>
                <w:u w:val="single"/>
              </w:rPr>
              <w:t xml:space="preserve">, </w:t>
            </w:r>
            <w:r>
              <w:rPr>
                <w:sz w:val="20"/>
                <w:szCs w:val="20"/>
              </w:rPr>
              <w:t>the $10 Million is from narcotics trafficking. The money is placed in the banking sector through the placement process. Banks remain an important mechanism for the disposal of criminal proceeds, though there appears to be a recognition by money launderers that’s obvious techniques such a depositing large sums of cash into bank accounts for subsequent transfer is likely to be reported to law enforcement authorities and thus extra steps are being taken. The techniques of smurfing or structuring was commonly used, this technique entails making numerous deposits of small amounts below a reporting threshold. Usually to a larger number of accounts. Bank 1 account name can be of a shell company receiving a purportedly loan back arrangements in the conjunction with cash smuggling. By this technique the launderer usually transfers the illegal proceeds to another country and then deposit the proceeds as a security or guarantee for a bank loan which is then sent back to the original country.</w:t>
            </w:r>
          </w:p>
          <w:p w:rsidR="00C35183" w:rsidRDefault="00C35183" w:rsidP="00C35183">
            <w:pPr>
              <w:shd w:val="clear" w:color="auto" w:fill="FFFFFF"/>
              <w:rPr>
                <w:sz w:val="20"/>
                <w:szCs w:val="20"/>
              </w:rPr>
            </w:pPr>
            <w:r>
              <w:rPr>
                <w:sz w:val="20"/>
                <w:szCs w:val="20"/>
              </w:rPr>
              <w:t>Money launderers often use front companies which co-mingle the proceeds of illicit activity with legitimate funds to hide the ill-gotten gains. These front companies have access to substantial illicit funds, allowing them to subsidize from company products/services at levels well below market rates. These are the company 1 to 3 from the diagram and examples are casinos, restaurants, parlors, horse betting etc.</w:t>
            </w:r>
          </w:p>
          <w:p w:rsidR="00C35183" w:rsidRDefault="00C35183" w:rsidP="00C35183">
            <w:pPr>
              <w:shd w:val="clear" w:color="auto" w:fill="FFFFFF"/>
              <w:rPr>
                <w:sz w:val="20"/>
                <w:szCs w:val="20"/>
              </w:rPr>
            </w:pPr>
            <w:r>
              <w:rPr>
                <w:sz w:val="20"/>
                <w:szCs w:val="20"/>
              </w:rPr>
              <w:t>Accounts in false names or accounts held in the name of relatives, associates or other persons operating on behalf of the criminal are then used at the integration stage which is the last stage. These are the agents receiving money from companies as illustrated by the diagram hence the so many accounts for withdrawals by the couple.</w:t>
            </w: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r>
              <w:rPr>
                <w:sz w:val="20"/>
                <w:szCs w:val="20"/>
              </w:rPr>
              <w:lastRenderedPageBreak/>
              <w:t>Logically savings are banked and are kept in the bank. Having to withdraw large quantities of cash raises so many questions. This could be the integration stage illustrated from the diagram. It could mean two things that the occupants are the launderers or there are just agents. My own opinion is I would profile them as the launderers. This could be a well organized crime syndicate and their accountant’s report concluded that the monies had indeed come from legitimate savings. How then did the couple fail to prove the source of the unidentified income? Also if it is from savings for both of them, as a couple, why do they need several bank accounts? They were also living a lifestyle that did not match their savings income as they spent considerably more cash than apparently received. The issue of them refusing to provide an explanation for the unidentified income puts them on the spotlight of having income from money laundering.</w:t>
            </w: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r>
              <w:rPr>
                <w:sz w:val="20"/>
                <w:szCs w:val="20"/>
              </w:rPr>
              <w:t>Some of the investigative techniques the police could use to investigate further will be to proving the income. This is the key component of the financial investigation and the determination of the financial gain or profit derived from the predicate offence. Establishing the amount of the illegal proceeds often supports the motive for the crime and provides circumstantial evidence of the predicate offence. For this reason, it is essential that financial investigators be proficient in the various methods of proving income and determining which method is applicable based on the facts and circumstances of a particular investigation.</w:t>
            </w: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r>
              <w:rPr>
                <w:sz w:val="20"/>
                <w:szCs w:val="20"/>
              </w:rPr>
              <w:t>Physical surveillance is a useful technique to gain general background and intelligence and information on individuals/businesses habits and relationships of suspects. Surveillance can be especially useful in financial investigation in cases involving the movement of bulk currency and by identifying the gatekeepers involved in the deployment and implementation of money laundering schemes.</w:t>
            </w:r>
          </w:p>
          <w:p w:rsidR="00C35183" w:rsidRDefault="00C35183" w:rsidP="00C35183">
            <w:pPr>
              <w:shd w:val="clear" w:color="auto" w:fill="FFFFFF"/>
              <w:rPr>
                <w:sz w:val="20"/>
                <w:szCs w:val="20"/>
              </w:rPr>
            </w:pPr>
          </w:p>
          <w:p w:rsidR="00C35183" w:rsidRDefault="00C35183" w:rsidP="00C35183">
            <w:pPr>
              <w:shd w:val="clear" w:color="auto" w:fill="FFFFFF"/>
              <w:rPr>
                <w:sz w:val="20"/>
                <w:szCs w:val="20"/>
              </w:rPr>
            </w:pPr>
            <w:r>
              <w:rPr>
                <w:sz w:val="20"/>
                <w:szCs w:val="20"/>
              </w:rPr>
              <w:t xml:space="preserve">As for interviews the investigators should use this technique to gather evidence and information in furtherance of their financial investigation of money laundering. Investigators should first attempt to obtain voluntary statements from suspects and witnesses. However if suspects or witnesses will not voluntary submit to an interview their testimony may be compelled in accordance with a country’s existing laws.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5183" w:rsidP="00A851DA">
            <w:pPr>
              <w:rPr>
                <w:rFonts w:cs="Bliss-Regular"/>
                <w:color w:val="000000"/>
              </w:rPr>
            </w:pPr>
            <w:r>
              <w:rPr>
                <w:rFonts w:cs="Bliss-Regular"/>
                <w:color w:val="000000"/>
              </w:rPr>
              <w:t>e.s Ronald K Masara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5C7B" w:rsidP="00A851DA">
            <w:pPr>
              <w:rPr>
                <w:rFonts w:cs="Bliss-Regular"/>
                <w:color w:val="000000"/>
              </w:rPr>
            </w:pPr>
            <w:r>
              <w:rPr>
                <w:rFonts w:cs="Bliss-Regular"/>
                <w:color w:val="000000"/>
              </w:rPr>
              <w:t>8</w:t>
            </w:r>
            <w:r w:rsidR="00C35183">
              <w:rPr>
                <w:rFonts w:cs="Bliss-Regular"/>
                <w:color w:val="000000"/>
              </w:rPr>
              <w:t>/11/2015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w:t>
      </w:r>
      <w:bookmarkStart w:id="0" w:name="_GoBack"/>
      <w:bookmarkEnd w:id="0"/>
      <w:r w:rsidRPr="00B0415E">
        <w:rPr>
          <w:b/>
          <w:sz w:val="28"/>
          <w:lang w:val="en-US"/>
        </w:rPr>
        <w:t>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C0E" w:rsidRDefault="00521C0E" w:rsidP="00CB4D0A">
      <w:pPr>
        <w:spacing w:after="0" w:line="240" w:lineRule="auto"/>
      </w:pPr>
      <w:r>
        <w:separator/>
      </w:r>
    </w:p>
  </w:endnote>
  <w:endnote w:type="continuationSeparator" w:id="0">
    <w:p w:rsidR="00521C0E" w:rsidRDefault="00521C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C0E" w:rsidRDefault="00521C0E" w:rsidP="00CB4D0A">
      <w:pPr>
        <w:spacing w:after="0" w:line="240" w:lineRule="auto"/>
      </w:pPr>
      <w:r>
        <w:separator/>
      </w:r>
    </w:p>
  </w:footnote>
  <w:footnote w:type="continuationSeparator" w:id="0">
    <w:p w:rsidR="00521C0E" w:rsidRDefault="00521C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5406D"/>
    <w:multiLevelType w:val="hybridMultilevel"/>
    <w:tmpl w:val="70D64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4D2FB1"/>
    <w:multiLevelType w:val="hybridMultilevel"/>
    <w:tmpl w:val="D70ED84C"/>
    <w:lvl w:ilvl="0" w:tplc="9BC08932">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5002"/>
    <w:rsid w:val="00182416"/>
    <w:rsid w:val="00187EB4"/>
    <w:rsid w:val="001E6E9C"/>
    <w:rsid w:val="001F0481"/>
    <w:rsid w:val="00200C92"/>
    <w:rsid w:val="0020451E"/>
    <w:rsid w:val="00206B9D"/>
    <w:rsid w:val="0023259C"/>
    <w:rsid w:val="00285C7B"/>
    <w:rsid w:val="002B0BD7"/>
    <w:rsid w:val="002B573D"/>
    <w:rsid w:val="002C5CB2"/>
    <w:rsid w:val="002F779F"/>
    <w:rsid w:val="00371885"/>
    <w:rsid w:val="003D4F61"/>
    <w:rsid w:val="003E2B87"/>
    <w:rsid w:val="00402786"/>
    <w:rsid w:val="00405895"/>
    <w:rsid w:val="004058DF"/>
    <w:rsid w:val="00443E6F"/>
    <w:rsid w:val="00486F1A"/>
    <w:rsid w:val="00490CB9"/>
    <w:rsid w:val="004A2CE2"/>
    <w:rsid w:val="004E3CDA"/>
    <w:rsid w:val="004F4B4D"/>
    <w:rsid w:val="0050216D"/>
    <w:rsid w:val="00503D7E"/>
    <w:rsid w:val="0050778F"/>
    <w:rsid w:val="00521C0E"/>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03F4"/>
    <w:rsid w:val="00935BF7"/>
    <w:rsid w:val="0095442C"/>
    <w:rsid w:val="00965F65"/>
    <w:rsid w:val="00983942"/>
    <w:rsid w:val="009C37E0"/>
    <w:rsid w:val="009E41F4"/>
    <w:rsid w:val="00A14B66"/>
    <w:rsid w:val="00A65CF7"/>
    <w:rsid w:val="00A81AB4"/>
    <w:rsid w:val="00A851DA"/>
    <w:rsid w:val="00AC7D5B"/>
    <w:rsid w:val="00AD73F4"/>
    <w:rsid w:val="00AE1481"/>
    <w:rsid w:val="00B0415E"/>
    <w:rsid w:val="00B04678"/>
    <w:rsid w:val="00BC46DF"/>
    <w:rsid w:val="00C03577"/>
    <w:rsid w:val="00C3518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31E6"/>
    <w:rsid w:val="00F96EB3"/>
    <w:rsid w:val="00FD5E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E94401-0A12-4923-A585-E415D54A4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35183"/>
    <w:pPr>
      <w:spacing w:after="0" w:line="240" w:lineRule="auto"/>
    </w:pPr>
    <w:rPr>
      <w:lang w:val="en-US"/>
    </w:rPr>
  </w:style>
  <w:style w:type="character" w:styleId="Hyperlink">
    <w:name w:val="Hyperlink"/>
    <w:basedOn w:val="DefaultParagraphFont"/>
    <w:uiPriority w:val="99"/>
    <w:semiHidden/>
    <w:unhideWhenUsed/>
    <w:rsid w:val="00C35183"/>
    <w:rPr>
      <w:color w:val="0000FF"/>
      <w:u w:val="single"/>
    </w:rPr>
  </w:style>
  <w:style w:type="character" w:customStyle="1" w:styleId="hvr">
    <w:name w:val="hvr"/>
    <w:basedOn w:val="DefaultParagraphFont"/>
    <w:rsid w:val="00C35183"/>
  </w:style>
  <w:style w:type="paragraph" w:styleId="NormalWeb">
    <w:name w:val="Normal (Web)"/>
    <w:basedOn w:val="Normal"/>
    <w:uiPriority w:val="99"/>
    <w:semiHidden/>
    <w:unhideWhenUsed/>
    <w:rsid w:val="00C351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wyershop.com/practice-areas/criminal-law/criminal-procedu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ctionary.findlaw.com/definition/fiduciary-relationship.html"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crime.about.com/od/Crime_101/a/Types-Of-Criminal-Offenses.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8F222-4B67-4F65-B943-7021B49C5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3132</Words>
  <Characters>17854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acer</cp:lastModifiedBy>
  <cp:revision>7</cp:revision>
  <cp:lastPrinted>2015-11-08T10:25:00Z</cp:lastPrinted>
  <dcterms:created xsi:type="dcterms:W3CDTF">2015-11-06T21:31:00Z</dcterms:created>
  <dcterms:modified xsi:type="dcterms:W3CDTF">2015-11-08T10:51:00Z</dcterms:modified>
</cp:coreProperties>
</file>