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C86576" w:rsidRDefault="00607874" w:rsidP="00A851DA">
      <w:pPr>
        <w:pStyle w:val="Default"/>
        <w:rPr>
          <w:rFonts w:ascii="Arial" w:hAnsi="Arial" w:cs="Arial"/>
        </w:rPr>
      </w:pPr>
      <w:bookmarkStart w:id="0" w:name="_GoBack"/>
      <w:bookmarkEnd w:id="0"/>
      <w:r w:rsidRPr="00C86576">
        <w:rPr>
          <w:rFonts w:ascii="Arial" w:hAnsi="Arial" w:cs="Arial"/>
          <w:noProof/>
        </w:rPr>
        <w:drawing>
          <wp:anchor distT="0" distB="0" distL="114300" distR="114300" simplePos="0" relativeHeight="251658240" behindDoc="0" locked="0" layoutInCell="1" allowOverlap="1" wp14:anchorId="59AD5126" wp14:editId="690F0CF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86576">
        <w:rPr>
          <w:rFonts w:ascii="Arial" w:hAnsi="Arial" w:cs="Arial"/>
        </w:rPr>
        <w:t xml:space="preserve">                                                             </w:t>
      </w:r>
      <w:r w:rsidR="00405895" w:rsidRPr="00C86576">
        <w:rPr>
          <w:rFonts w:ascii="Arial" w:hAnsi="Arial" w:cs="Arial"/>
        </w:rPr>
        <w:t xml:space="preserve">     </w:t>
      </w:r>
    </w:p>
    <w:p w:rsidR="00607874" w:rsidRPr="00C86576" w:rsidRDefault="00636EDD" w:rsidP="00A851DA">
      <w:pPr>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C86576" w:rsidRDefault="00607874" w:rsidP="00A851DA">
      <w:pPr>
        <w:rPr>
          <w:rFonts w:ascii="Arial" w:hAnsi="Arial" w:cs="Arial"/>
          <w:sz w:val="24"/>
          <w:szCs w:val="24"/>
          <w:lang w:val="en-US"/>
        </w:rPr>
      </w:pPr>
    </w:p>
    <w:p w:rsidR="00607874" w:rsidRPr="00C86576" w:rsidRDefault="00607874" w:rsidP="00A851DA">
      <w:pPr>
        <w:rPr>
          <w:rFonts w:ascii="Arial" w:hAnsi="Arial" w:cs="Arial"/>
          <w:sz w:val="24"/>
          <w:szCs w:val="24"/>
          <w:lang w:val="en-US"/>
        </w:rPr>
      </w:pPr>
    </w:p>
    <w:p w:rsidR="00607874" w:rsidRPr="00C86576"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86576" w:rsidRDefault="00F22743">
            <w:pPr>
              <w:pStyle w:val="Default"/>
              <w:rPr>
                <w:rFonts w:ascii="Arial" w:hAnsi="Arial" w:cs="Arial"/>
              </w:rPr>
            </w:pPr>
            <w:r w:rsidRPr="00C86576">
              <w:rPr>
                <w:rFonts w:ascii="Arial" w:hAnsi="Arial" w:cs="Arial"/>
              </w:rPr>
              <w:t>Emmanuel Nsobila</w:t>
            </w:r>
          </w:p>
        </w:tc>
      </w:tr>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86576" w:rsidRDefault="00F22743">
            <w:pPr>
              <w:pStyle w:val="Default"/>
              <w:rPr>
                <w:rFonts w:ascii="Arial" w:hAnsi="Arial" w:cs="Arial"/>
              </w:rPr>
            </w:pPr>
            <w:r w:rsidRPr="00C86576">
              <w:rPr>
                <w:rFonts w:ascii="Arial" w:hAnsi="Arial" w:cs="Arial"/>
              </w:rPr>
              <w:t>1276</w:t>
            </w:r>
          </w:p>
        </w:tc>
      </w:tr>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86576" w:rsidRDefault="00F22743">
            <w:pPr>
              <w:pStyle w:val="Default"/>
              <w:rPr>
                <w:rFonts w:ascii="Arial" w:hAnsi="Arial" w:cs="Arial"/>
              </w:rPr>
            </w:pPr>
            <w:r w:rsidRPr="00C86576">
              <w:rPr>
                <w:rFonts w:ascii="Arial" w:hAnsi="Arial" w:cs="Arial"/>
              </w:rPr>
              <w:t>Diploma in Forensic Accounting</w:t>
            </w:r>
          </w:p>
        </w:tc>
      </w:tr>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86576" w:rsidRDefault="00F22743">
            <w:pPr>
              <w:rPr>
                <w:rFonts w:ascii="Arial" w:hAnsi="Arial" w:cs="Arial"/>
                <w:sz w:val="24"/>
                <w:szCs w:val="24"/>
              </w:rPr>
            </w:pPr>
            <w:r w:rsidRPr="00C86576">
              <w:rPr>
                <w:rFonts w:ascii="Arial" w:hAnsi="Arial" w:cs="Arial"/>
                <w:sz w:val="24"/>
                <w:szCs w:val="24"/>
              </w:rPr>
              <w:t>07</w:t>
            </w:r>
          </w:p>
        </w:tc>
      </w:tr>
    </w:tbl>
    <w:p w:rsidR="00CC2FB3" w:rsidRPr="00C86576" w:rsidRDefault="00CC2FB3"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C86576" w:rsidTr="00CC2FB3">
        <w:tc>
          <w:tcPr>
            <w:tcW w:w="9242" w:type="dxa"/>
          </w:tcPr>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QUESTION 1</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Give short answers for the following questions:</w:t>
            </w: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What are the non- financial sources for the evidence?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Evidence in fraud can potentially come from a variety of sources both financial and nonfinancial. Generally the focus is on fraud investigation tends to be mostly, if not solely, financial. Fraud investigators and auditors should consider the possibility of valuable evidence that is nonfinancial.</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Nonfinancial sources include interviews, document examination, handwriting analysis, and physiological aspects of the fraudster. The latter refers to something the fraudster reveals in behaviours, physical expressions, or communications that can be cues as to the veracity of the fraudster’s statements about his or her involvement in the fraud in question.</w:t>
            </w:r>
          </w:p>
          <w:p w:rsidR="00B513A9"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The primary purpose of the physiological techniques and concepts is to detect deception. If a fraud is being perpetrated, the fraudster is certainly being as furtive as possible including using deception in appearance and communications.</w:t>
            </w:r>
          </w:p>
          <w:p w:rsidR="00804EFB" w:rsidRDefault="00804EFB" w:rsidP="00804EFB">
            <w:pPr>
              <w:autoSpaceDE w:val="0"/>
              <w:autoSpaceDN w:val="0"/>
              <w:adjustRightInd w:val="0"/>
              <w:spacing w:before="100" w:beforeAutospacing="1" w:after="100" w:afterAutospacing="1" w:line="360" w:lineRule="auto"/>
              <w:jc w:val="both"/>
              <w:rPr>
                <w:rFonts w:ascii="Arial" w:eastAsia="Calibri" w:hAnsi="Arial" w:cs="Arial"/>
                <w:sz w:val="24"/>
                <w:szCs w:val="24"/>
              </w:rPr>
            </w:pPr>
          </w:p>
          <w:p w:rsidR="00804EFB" w:rsidRPr="00804EFB" w:rsidRDefault="00804EFB" w:rsidP="00804EFB">
            <w:pPr>
              <w:autoSpaceDE w:val="0"/>
              <w:autoSpaceDN w:val="0"/>
              <w:adjustRightInd w:val="0"/>
              <w:spacing w:before="100" w:beforeAutospacing="1" w:after="100" w:afterAutospacing="1" w:line="360" w:lineRule="auto"/>
              <w:jc w:val="both"/>
              <w:rPr>
                <w:rFonts w:ascii="Arial" w:hAnsi="Arial" w:cs="Arial"/>
                <w:sz w:val="24"/>
                <w:szCs w:val="24"/>
              </w:rPr>
            </w:pP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What is the importance of body language in the interviewing procedure?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r w:rsidRPr="00C86576">
              <w:rPr>
                <w:rFonts w:ascii="Arial" w:hAnsi="Arial" w:cs="Arial"/>
                <w:bCs/>
                <w:sz w:val="24"/>
                <w:szCs w:val="24"/>
              </w:rPr>
              <w:t>Body language</w:t>
            </w:r>
            <w:r w:rsidRPr="00C86576">
              <w:rPr>
                <w:rFonts w:ascii="Arial" w:hAnsi="Arial" w:cs="Arial"/>
                <w:sz w:val="24"/>
                <w:szCs w:val="24"/>
              </w:rPr>
              <w:t xml:space="preserve"> refers to various forms of nonverbal communication, wherein a person may reveal clues as to some unspoken intention or feeling through their physical behavior. These behaviors can include body posture, gestures, facial expressions and eye movements.</w:t>
            </w:r>
            <w:r w:rsidRPr="00C86576">
              <w:rPr>
                <w:rFonts w:ascii="Arial" w:hAnsi="Arial" w:cs="Arial"/>
                <w:b/>
                <w:sz w:val="24"/>
                <w:szCs w:val="24"/>
              </w:rPr>
              <w:t xml:space="preserve"> </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Body language may provide clues as to the attitude or state of mind of a person. For example, it may indicate aggression, attentiveness, boredom, a relaxed state, pleasure etc. Body language is significant to communication and relationships. It is relevant to management and leadership in business and also in places where it can be observed by many people.</w:t>
            </w:r>
          </w:p>
          <w:p w:rsidR="00B513A9" w:rsidRPr="00C86576" w:rsidRDefault="00B513A9" w:rsidP="00B513A9">
            <w:pPr>
              <w:pStyle w:val="NormalWeb"/>
              <w:spacing w:line="360" w:lineRule="auto"/>
              <w:ind w:left="1080"/>
              <w:jc w:val="both"/>
              <w:rPr>
                <w:rFonts w:ascii="Arial" w:hAnsi="Arial" w:cs="Arial"/>
              </w:rPr>
            </w:pPr>
            <w:r w:rsidRPr="00C86576">
              <w:rPr>
                <w:rFonts w:ascii="Arial" w:hAnsi="Arial" w:cs="Arial"/>
              </w:rPr>
              <w:t>Body language is one of the very powerful ways of communicating. When it comes to your career, especially while attending interviews, every small movement you make will amplify and suggest what’s going on in your mind. Body language is still important because it can give away unconscious clues to how you are feeling which might contradict what you are saying.</w:t>
            </w:r>
          </w:p>
          <w:p w:rsidR="00B513A9" w:rsidRPr="00C86576" w:rsidRDefault="00B513A9" w:rsidP="00B513A9">
            <w:pPr>
              <w:pStyle w:val="NormalWeb"/>
              <w:spacing w:line="360" w:lineRule="auto"/>
              <w:ind w:left="1080"/>
              <w:jc w:val="both"/>
              <w:rPr>
                <w:rFonts w:ascii="Arial" w:hAnsi="Arial" w:cs="Arial"/>
              </w:rPr>
            </w:pPr>
            <w:r w:rsidRPr="00C86576">
              <w:rPr>
                <w:rFonts w:ascii="Arial" w:hAnsi="Arial" w:cs="Arial"/>
              </w:rPr>
              <w:t>In a research carried out by Albert Mehrabian and reported in his book “Silent Messages” (1981) on communication of feelings and attitudes between people, the spoken words themselves accounted for just 7% of the impact. Vocal characteristics (loudness, tempo, inflection) accounted for 38% and body language (posture, eye contact, facial expression etc.) accounted for 55%.</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 xml:space="preserve">Body language plays an important part in how we communicate our feelings to others, and is a vital ingredient of creating the right first impression. People form an opinion of you regardless of whether you </w:t>
            </w:r>
            <w:r w:rsidRPr="00C86576">
              <w:rPr>
                <w:rFonts w:ascii="Arial" w:hAnsi="Arial" w:cs="Arial"/>
                <w:sz w:val="24"/>
                <w:szCs w:val="24"/>
              </w:rPr>
              <w:lastRenderedPageBreak/>
              <w:t>actively try to create an impression</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r w:rsidRPr="00C86576">
              <w:rPr>
                <w:rFonts w:ascii="Arial" w:hAnsi="Arial" w:cs="Arial"/>
                <w:sz w:val="24"/>
                <w:szCs w:val="24"/>
              </w:rPr>
              <w:t>Body language is so important because it can often contradict what we say in words. For example you might be demonstrating a time when you displayed confidence but telling the story while looking down at your hands and avoiding eye contact.</w:t>
            </w: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How is the SCAN Analysis used as an investigative technique?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Scientific content analysis (SCAN) is a technique that is similar to statement analysis. Like statement analysis, SCAN does not try to look for the truthfulness of the facts but rather the reflection of deception in the way statements are made.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SCAN depends heavily upon analyzing the statement, not upon observing "kinesics" or "body language". The basic premise is that the structure and contents of a subject's statement reveal whether there's an attempt at deception.</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SCAN is cross-cultural, in the sense that an interrogator can conduct an analysis in any language he understands.</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 xml:space="preserve">According to </w:t>
            </w:r>
            <w:r w:rsidRPr="00C86576">
              <w:rPr>
                <w:rFonts w:ascii="Arial" w:hAnsi="Arial" w:cs="Arial"/>
                <w:sz w:val="24"/>
                <w:szCs w:val="24"/>
              </w:rPr>
              <w:t xml:space="preserve">Avinoam </w:t>
            </w:r>
            <w:r w:rsidRPr="00C86576">
              <w:rPr>
                <w:rFonts w:ascii="Arial" w:hAnsi="Arial" w:cs="Arial"/>
                <w:color w:val="000000"/>
                <w:sz w:val="24"/>
                <w:szCs w:val="24"/>
              </w:rPr>
              <w:t>Sapir, at least 90% of statements made are truthful, and most people do not attempt to lie directly. Instead, they hedge, omit crucial facts, feign forgetfulness, and pretend ignorance. The reason for this is that liars are reluctant to commit themselves to their deceptions, instead preferring to use conversational tricks to avoid damaging admissions.</w:t>
            </w:r>
          </w:p>
          <w:p w:rsidR="00B513A9"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SCAN studies speech patterns, seeking tell-tale signs of deception by analyzing both structure and contents of statements. To do so, it is first necessary to obtain a suitable "pure" statement from the subject.</w:t>
            </w:r>
          </w:p>
          <w:p w:rsidR="00D271DA" w:rsidRDefault="00D271DA"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p>
          <w:p w:rsidR="00D271DA" w:rsidRPr="00C86576" w:rsidRDefault="00D271DA"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What are visual assessing cues? How do eyes of the victim help the interviewer?</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 xml:space="preserve">A more reliable indicator of truthfulness is eye language. Experts believe the eyes are the most communicative part of the human body. The eyes do have a language and the principles that follow are referred to as visual accessing cues (VAC). Eye movement as indicators of specific cognitive processes is one of the most well-known, if controversial, discoveries of NLP (Neuron Linguistic Programming), and potentially one of the most valuable. According to NLP, automatic, unconscious eye movement, or eye accessing cues, often accompany particular thought processes, and indicate the access and use of particular representational systems. </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The notion that eye movements might be related to internal representations was first suggested by American psychologist William James in his book ‘principles of psychology (1890, pp. 193-195)’.</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The eye movement cues and interpretations, however, are true only for right-handed persons. The eyes of the victim help the interviewer know what the victim might be thinking, his or her intended actions. It also helps the interviewer know whether what the victim is saying is the truth or not.</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Examples of such instances are:</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Eyes to the left and up. Retrieving visual images from the past.</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Eyes to the right and up. Visually constructing images.</w:t>
            </w:r>
          </w:p>
          <w:p w:rsidR="00B513A9" w:rsidRPr="00D271DA" w:rsidRDefault="00B513A9" w:rsidP="00D271DA">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 xml:space="preserve">Eyes to the right toward the ear. Creating a sound. Etc. </w:t>
            </w: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In addition to body language there are other cues as well which help to identify the lies.’ What are these? </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Interpersonal interaction. </w:t>
            </w:r>
            <w:r w:rsidRPr="00C86576">
              <w:rPr>
                <w:rFonts w:ascii="Arial" w:hAnsi="Arial" w:cs="Arial"/>
                <w:sz w:val="24"/>
                <w:szCs w:val="24"/>
              </w:rPr>
              <w:t>Shakes head ‘yes’ after the point is made, inconsistent gestures.</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Emotional states. </w:t>
            </w:r>
            <w:r w:rsidRPr="00C86576">
              <w:rPr>
                <w:rFonts w:ascii="Arial" w:hAnsi="Arial" w:cs="Arial"/>
                <w:sz w:val="24"/>
                <w:szCs w:val="24"/>
              </w:rPr>
              <w:t xml:space="preserve">Deceitful people tend to avoid touching the person </w:t>
            </w:r>
            <w:r w:rsidRPr="00C86576">
              <w:rPr>
                <w:rFonts w:ascii="Arial" w:hAnsi="Arial" w:cs="Arial"/>
                <w:sz w:val="24"/>
                <w:szCs w:val="24"/>
              </w:rPr>
              <w:lastRenderedPageBreak/>
              <w:t>questioning them.</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Verbal content. </w:t>
            </w:r>
            <w:r w:rsidRPr="00C86576">
              <w:rPr>
                <w:rFonts w:ascii="Arial" w:hAnsi="Arial" w:cs="Arial"/>
                <w:sz w:val="24"/>
                <w:szCs w:val="24"/>
              </w:rPr>
              <w:t>Reflects questions back as the answer immediately after the question. For example, did you write a check to yourself? ‘‘no, I didn’t write a check to myself.’’</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How comments are made. </w:t>
            </w:r>
            <w:r w:rsidRPr="00C86576">
              <w:rPr>
                <w:rFonts w:ascii="Arial" w:hAnsi="Arial" w:cs="Arial"/>
                <w:sz w:val="24"/>
                <w:szCs w:val="24"/>
              </w:rPr>
              <w:t>Disassociating people, events, and so on by replacing the pronoun. For example, ‘‘the equipment’’ versus ‘‘my equipment.’’</w:t>
            </w:r>
          </w:p>
          <w:p w:rsidR="00D271DA" w:rsidRPr="00D271DA" w:rsidRDefault="00B513A9" w:rsidP="00D271DA">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Psychological frames. </w:t>
            </w:r>
            <w:r w:rsidRPr="00C86576">
              <w:rPr>
                <w:rFonts w:ascii="Arial" w:hAnsi="Arial" w:cs="Arial"/>
                <w:sz w:val="24"/>
                <w:szCs w:val="24"/>
              </w:rPr>
              <w:t>Deceitful statements almost always omit what went wrong in describing events, except concerning delays or cancellations.</w:t>
            </w:r>
          </w:p>
          <w:p w:rsidR="00D271DA" w:rsidRPr="00D271DA" w:rsidRDefault="00D271DA" w:rsidP="00D271DA">
            <w:pPr>
              <w:autoSpaceDE w:val="0"/>
              <w:autoSpaceDN w:val="0"/>
              <w:adjustRightInd w:val="0"/>
              <w:spacing w:before="100" w:beforeAutospacing="1" w:after="100" w:afterAutospacing="1" w:line="360" w:lineRule="auto"/>
              <w:ind w:left="1080"/>
              <w:jc w:val="both"/>
              <w:rPr>
                <w:rFonts w:ascii="Arial" w:hAnsi="Arial" w:cs="Arial"/>
                <w:b/>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QUESTION 2</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‘Asking questions in an audit is different from asking questions in fraud investigation.’ Discuss</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Auditors ask questions in the course of most audits, whether they are internal or external. To effectively ask questions in a fraud examination or investigation, one must employ best practices for interviewing techniques in that context.</w:t>
            </w:r>
          </w:p>
          <w:p w:rsidR="00B513A9" w:rsidRPr="00C86576" w:rsidRDefault="00B513A9" w:rsidP="00B513A9">
            <w:pPr>
              <w:pStyle w:val="NormalWeb"/>
              <w:spacing w:line="360" w:lineRule="auto"/>
              <w:jc w:val="both"/>
              <w:rPr>
                <w:rFonts w:ascii="Arial" w:hAnsi="Arial" w:cs="Arial"/>
              </w:rPr>
            </w:pPr>
            <w:r w:rsidRPr="00C86576">
              <w:rPr>
                <w:rFonts w:ascii="Arial" w:hAnsi="Arial" w:cs="Arial"/>
              </w:rPr>
              <w:t>Unlike questions asked in auditing, questions usually asked in fraud examination or fraud investigations takes the form of introductory, informational, closing, assessment, and admission-seeking. Experts agree that open ended questions are far superior to questions that can be answered with a simple ‘‘yes’’ or ‘‘no.’’</w:t>
            </w:r>
          </w:p>
          <w:p w:rsidR="00B513A9" w:rsidRPr="00C86576" w:rsidRDefault="00B513A9" w:rsidP="00B513A9">
            <w:pPr>
              <w:pStyle w:val="NormalWeb"/>
              <w:spacing w:line="360" w:lineRule="auto"/>
              <w:jc w:val="both"/>
              <w:rPr>
                <w:rFonts w:ascii="Arial" w:hAnsi="Arial" w:cs="Arial"/>
              </w:rPr>
            </w:pPr>
            <w:r w:rsidRPr="00C86576">
              <w:rPr>
                <w:rFonts w:ascii="Arial" w:hAnsi="Arial" w:cs="Arial"/>
              </w:rPr>
              <w:t>With fraud investigation, there is the possibility that the investigator may not be trained or experienced in proper interview techniques (i.e., best practices) or worse yet, unfamiliar with the legal protocol of interviews.</w:t>
            </w:r>
          </w:p>
          <w:p w:rsidR="00B513A9"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p>
          <w:p w:rsidR="00D271DA" w:rsidRPr="00C86576" w:rsidRDefault="00D271DA" w:rsidP="00B513A9">
            <w:pPr>
              <w:autoSpaceDE w:val="0"/>
              <w:autoSpaceDN w:val="0"/>
              <w:adjustRightInd w:val="0"/>
              <w:spacing w:before="100" w:beforeAutospacing="1" w:after="100" w:afterAutospacing="1" w:line="360" w:lineRule="auto"/>
              <w:jc w:val="both"/>
              <w:rPr>
                <w:rFonts w:ascii="Arial" w:hAnsi="Arial" w:cs="Arial"/>
                <w:b/>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lastRenderedPageBreak/>
              <w:t>QUESTION 3</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Discuss the interviewing procedure for a financially sophisticated victim.</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An interview is conversation in which persons are questioned and their responses noted. Responses can be verbal as well as nonverbal. At times, interviewees’ nonverbal responses are just as important as verbal ones. Interviewing is sometimes used to refer to an activity more appropriately called interrogation.</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The interviewing procedure includes:</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Preparing. </w:t>
            </w:r>
            <w:r w:rsidRPr="00C86576">
              <w:rPr>
                <w:rFonts w:ascii="Arial" w:hAnsi="Arial" w:cs="Arial"/>
                <w:sz w:val="24"/>
                <w:szCs w:val="24"/>
              </w:rPr>
              <w:t>The interviewer should prepare for it by becoming as familiar as possible with the individual being interviewed, the type of fraud that he/she is investigating, the suspect, and the victim.</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Think as you go.  </w:t>
            </w:r>
            <w:r w:rsidRPr="00C86576">
              <w:rPr>
                <w:rFonts w:ascii="Arial" w:hAnsi="Arial" w:cs="Arial"/>
                <w:sz w:val="24"/>
                <w:szCs w:val="24"/>
              </w:rPr>
              <w:t>Although</w:t>
            </w:r>
            <w:r w:rsidRPr="00C86576">
              <w:rPr>
                <w:rFonts w:ascii="Arial" w:hAnsi="Arial" w:cs="Arial"/>
                <w:b/>
                <w:sz w:val="24"/>
                <w:szCs w:val="24"/>
              </w:rPr>
              <w:t xml:space="preserve"> </w:t>
            </w:r>
            <w:r w:rsidRPr="00C86576">
              <w:rPr>
                <w:rFonts w:ascii="Arial" w:hAnsi="Arial" w:cs="Arial"/>
                <w:sz w:val="24"/>
                <w:szCs w:val="24"/>
              </w:rPr>
              <w:t>it seems intuitive that the interviewer should write down questions for the interviewee, actually the best thing to do is not write them down. Instead, the interviewer should have a list of key points and allow the conversation to take its natural course.</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Watch nonverbal behaviour.  </w:t>
            </w:r>
            <w:r w:rsidRPr="00C86576">
              <w:rPr>
                <w:rFonts w:ascii="Arial" w:hAnsi="Arial" w:cs="Arial"/>
                <w:sz w:val="24"/>
                <w:szCs w:val="24"/>
              </w:rPr>
              <w:t>Usually, humans have a different body language when under stress. The trained fraud investigator knows how to watch for signs of stress in a process called calibration. This process is used to assess a witness’s fruitfulness.</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Set the tone. </w:t>
            </w:r>
            <w:r w:rsidRPr="00C86576">
              <w:rPr>
                <w:rFonts w:ascii="Arial" w:hAnsi="Arial" w:cs="Arial"/>
                <w:sz w:val="24"/>
                <w:szCs w:val="24"/>
              </w:rPr>
              <w:t>This includes dressing properly, using good social skills, introducing himself or herself appropriately, and especially developing a rapport with the interviewee.</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Pace your questions. </w:t>
            </w:r>
            <w:r w:rsidRPr="00C86576">
              <w:rPr>
                <w:rFonts w:ascii="Arial" w:hAnsi="Arial" w:cs="Arial"/>
                <w:sz w:val="24"/>
                <w:szCs w:val="24"/>
              </w:rPr>
              <w:t>The interviewer should pace the questions to keep the interviewee comfortable with the interview. The hard questions should follow a few easy questions and ease up to the harder ones.</w:t>
            </w:r>
          </w:p>
          <w:p w:rsidR="00B513A9" w:rsidRPr="00D271DA"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Do more listening than talking. </w:t>
            </w:r>
            <w:r w:rsidRPr="00C86576">
              <w:rPr>
                <w:rFonts w:ascii="Arial" w:hAnsi="Arial" w:cs="Arial"/>
                <w:sz w:val="24"/>
                <w:szCs w:val="24"/>
              </w:rPr>
              <w:t>The interviewer should listen more than talk, allowing the interviewee to become stressed, if he or she is being deceptive, and eventually provide the interviewer cues of his or her deception. Besides the more the investigator talks, the more the interviewee learns, which could be a strategic mistake for an interviewer.</w:t>
            </w:r>
          </w:p>
          <w:p w:rsidR="00D271DA" w:rsidRPr="00C86576" w:rsidRDefault="00D271DA" w:rsidP="00D271DA">
            <w:pPr>
              <w:pStyle w:val="ListParagraph"/>
              <w:autoSpaceDE w:val="0"/>
              <w:autoSpaceDN w:val="0"/>
              <w:adjustRightInd w:val="0"/>
              <w:spacing w:before="100" w:beforeAutospacing="1" w:after="100" w:afterAutospacing="1" w:line="360" w:lineRule="auto"/>
              <w:jc w:val="both"/>
              <w:rPr>
                <w:rFonts w:ascii="Arial" w:hAnsi="Arial" w:cs="Arial"/>
                <w:b/>
                <w:sz w:val="24"/>
                <w:szCs w:val="24"/>
              </w:rPr>
            </w:pP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lastRenderedPageBreak/>
              <w:t xml:space="preserve">Be straightforward. </w:t>
            </w:r>
            <w:r w:rsidRPr="00C86576">
              <w:rPr>
                <w:rFonts w:ascii="Arial" w:hAnsi="Arial" w:cs="Arial"/>
                <w:sz w:val="24"/>
                <w:szCs w:val="24"/>
              </w:rPr>
              <w:t>The investigator should be straightforward. Approach the process in an open way, and be honest as possible without compromising the process. Trying to be secretive or aggressive can cause the interviewee to become defensive.</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Take your time. </w:t>
            </w:r>
            <w:r w:rsidRPr="00C86576">
              <w:rPr>
                <w:rFonts w:ascii="Arial" w:hAnsi="Arial" w:cs="Arial"/>
                <w:sz w:val="24"/>
                <w:szCs w:val="24"/>
              </w:rPr>
              <w:t>Honest people usually do not mind follow-up questions when the interviewer’s instinct say he did not get all of the facts. Guilty people, however, typically get impatient.</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Double-check the facts. </w:t>
            </w:r>
            <w:r w:rsidRPr="00C86576">
              <w:rPr>
                <w:rFonts w:ascii="Arial" w:hAnsi="Arial" w:cs="Arial"/>
                <w:sz w:val="24"/>
                <w:szCs w:val="24"/>
              </w:rPr>
              <w:t>The interviewer needs to double-check the supposed facts gathered, and start the process during the interview. Nothing damages an investigation more than having testimony contradicted by the very person who gave it.</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Get it in writing. </w:t>
            </w:r>
            <w:r w:rsidRPr="00C86576">
              <w:rPr>
                <w:rFonts w:ascii="Arial" w:hAnsi="Arial" w:cs="Arial"/>
                <w:sz w:val="24"/>
                <w:szCs w:val="24"/>
              </w:rPr>
              <w:t>Tape recording is an option, but the downside to that tactics is the probability of losing rapport with the interviewee.</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The primary purpose of the interview process in a fraud investigation is to interview the suspect, last in the investigation process, and obtain a signed confession in that interview known as an admission-seeking interview.</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p>
          <w:p w:rsidR="00C86576" w:rsidRPr="00C86576" w:rsidRDefault="00C86576" w:rsidP="00B513A9">
            <w:pPr>
              <w:autoSpaceDE w:val="0"/>
              <w:autoSpaceDN w:val="0"/>
              <w:adjustRightInd w:val="0"/>
              <w:spacing w:before="100" w:beforeAutospacing="1" w:after="100" w:afterAutospacing="1" w:line="360" w:lineRule="auto"/>
              <w:jc w:val="both"/>
              <w:rPr>
                <w:rFonts w:ascii="Arial" w:hAnsi="Arial" w:cs="Arial"/>
                <w:b/>
                <w:sz w:val="24"/>
                <w:szCs w:val="24"/>
              </w:rPr>
            </w:pPr>
          </w:p>
          <w:p w:rsidR="00D271DA" w:rsidRDefault="00D271DA" w:rsidP="00B513A9">
            <w:pPr>
              <w:autoSpaceDE w:val="0"/>
              <w:autoSpaceDN w:val="0"/>
              <w:adjustRightInd w:val="0"/>
              <w:spacing w:before="100" w:beforeAutospacing="1" w:after="100" w:afterAutospacing="1" w:line="360" w:lineRule="auto"/>
              <w:jc w:val="both"/>
              <w:rPr>
                <w:rFonts w:ascii="Arial" w:hAnsi="Arial" w:cs="Arial"/>
                <w:b/>
                <w:sz w:val="24"/>
                <w:szCs w:val="24"/>
              </w:rPr>
            </w:pPr>
          </w:p>
          <w:p w:rsidR="00D271DA" w:rsidRDefault="00D271DA" w:rsidP="00B513A9">
            <w:pPr>
              <w:autoSpaceDE w:val="0"/>
              <w:autoSpaceDN w:val="0"/>
              <w:adjustRightInd w:val="0"/>
              <w:spacing w:before="100" w:beforeAutospacing="1" w:after="100" w:afterAutospacing="1" w:line="360" w:lineRule="auto"/>
              <w:jc w:val="both"/>
              <w:rPr>
                <w:rFonts w:ascii="Arial" w:hAnsi="Arial" w:cs="Arial"/>
                <w:b/>
                <w:sz w:val="24"/>
                <w:szCs w:val="24"/>
              </w:rPr>
            </w:pPr>
          </w:p>
          <w:p w:rsidR="00D271DA" w:rsidRDefault="00D271DA" w:rsidP="00B513A9">
            <w:pPr>
              <w:autoSpaceDE w:val="0"/>
              <w:autoSpaceDN w:val="0"/>
              <w:adjustRightInd w:val="0"/>
              <w:spacing w:before="100" w:beforeAutospacing="1" w:after="100" w:afterAutospacing="1" w:line="360" w:lineRule="auto"/>
              <w:jc w:val="both"/>
              <w:rPr>
                <w:rFonts w:ascii="Arial" w:hAnsi="Arial" w:cs="Arial"/>
                <w:b/>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lastRenderedPageBreak/>
              <w:t>References</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Singleton, T., et al (2010) Fraud Auditing and Forensic Accounting, fourth edition.</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Pedneault, S., et al (2012) Forensic Accounting and Fraud Investigation for Non-Experts</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Hopwood, S. William., Leiner, Jay J., Young, George R., (2012) Forensic Accounting and Fraud Examination, 2</w:t>
            </w:r>
            <w:r w:rsidRPr="00C86576">
              <w:rPr>
                <w:rFonts w:ascii="Arial" w:hAnsi="Arial" w:cs="Arial"/>
                <w:sz w:val="24"/>
                <w:szCs w:val="24"/>
                <w:vertAlign w:val="superscript"/>
              </w:rPr>
              <w:t>nd</w:t>
            </w:r>
            <w:r w:rsidRPr="00C86576">
              <w:rPr>
                <w:rFonts w:ascii="Arial" w:hAnsi="Arial" w:cs="Arial"/>
                <w:sz w:val="24"/>
                <w:szCs w:val="24"/>
              </w:rPr>
              <w:t xml:space="preserve"> edition </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Study Material (</w:t>
            </w:r>
            <w:r w:rsidRPr="00C86576">
              <w:rPr>
                <w:rFonts w:ascii="Arial" w:hAnsi="Arial" w:cs="Arial"/>
                <w:b/>
                <w:sz w:val="24"/>
                <w:szCs w:val="24"/>
              </w:rPr>
              <w:t>UNIT 7</w:t>
            </w:r>
            <w:r w:rsidRPr="00C86576">
              <w:rPr>
                <w:rFonts w:ascii="Arial" w:hAnsi="Arial" w:cs="Arial"/>
                <w:sz w:val="24"/>
                <w:szCs w:val="24"/>
              </w:rPr>
              <w:t xml:space="preserve">) </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p>
          <w:p w:rsidR="00CC2FB3" w:rsidRPr="00C86576" w:rsidRDefault="00CC2FB3" w:rsidP="00A851DA">
            <w:pPr>
              <w:rPr>
                <w:rFonts w:ascii="Arial" w:hAnsi="Arial" w:cs="Arial"/>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tc>
      </w:tr>
    </w:tbl>
    <w:p w:rsidR="00503D7E" w:rsidRPr="00C86576"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C86576" w:rsidRDefault="00AE1481" w:rsidP="00A851DA">
      <w:pPr>
        <w:autoSpaceDE w:val="0"/>
        <w:autoSpaceDN w:val="0"/>
        <w:adjustRightInd w:val="0"/>
        <w:spacing w:after="0" w:line="240" w:lineRule="auto"/>
        <w:rPr>
          <w:rFonts w:ascii="Arial" w:hAnsi="Arial" w:cs="Arial"/>
          <w:b/>
          <w:bCs/>
          <w:color w:val="002060"/>
          <w:sz w:val="24"/>
          <w:szCs w:val="24"/>
          <w:lang w:val="en-US"/>
        </w:rPr>
      </w:pPr>
      <w:r w:rsidRPr="00C86576">
        <w:rPr>
          <w:rFonts w:ascii="Arial" w:hAnsi="Arial" w:cs="Arial"/>
          <w:b/>
          <w:bCs/>
          <w:color w:val="002060"/>
          <w:sz w:val="24"/>
          <w:szCs w:val="24"/>
          <w:lang w:val="en-US"/>
        </w:rPr>
        <w:t>Student</w:t>
      </w:r>
      <w:r w:rsidR="00A851DA" w:rsidRPr="00C86576">
        <w:rPr>
          <w:rFonts w:ascii="Arial" w:hAnsi="Arial" w:cs="Arial"/>
          <w:b/>
          <w:bCs/>
          <w:color w:val="002060"/>
          <w:sz w:val="24"/>
          <w:szCs w:val="24"/>
          <w:lang w:val="en-US"/>
        </w:rPr>
        <w:t xml:space="preserve"> Statement:</w:t>
      </w:r>
    </w:p>
    <w:p w:rsidR="00A851DA" w:rsidRPr="00C86576"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C86576" w:rsidRDefault="00405895" w:rsidP="00A851DA">
      <w:pPr>
        <w:autoSpaceDE w:val="0"/>
        <w:autoSpaceDN w:val="0"/>
        <w:adjustRightInd w:val="0"/>
        <w:spacing w:after="0" w:line="240" w:lineRule="auto"/>
        <w:rPr>
          <w:rFonts w:ascii="Arial" w:hAnsi="Arial" w:cs="Arial"/>
          <w:color w:val="000000"/>
          <w:sz w:val="24"/>
          <w:szCs w:val="24"/>
          <w:lang w:val="en-US"/>
        </w:rPr>
      </w:pPr>
      <w:r w:rsidRPr="00C86576">
        <w:rPr>
          <w:rFonts w:ascii="Arial" w:hAnsi="Arial" w:cs="Arial"/>
          <w:color w:val="000000"/>
          <w:sz w:val="24"/>
          <w:szCs w:val="24"/>
          <w:lang w:val="en-US"/>
        </w:rPr>
        <w:t>By submitting this assignment, I confirm that this is my own work.</w:t>
      </w:r>
    </w:p>
    <w:p w:rsidR="00503D7E" w:rsidRPr="00C86576"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C86576"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C86576"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C86576" w:rsidTr="00405895">
        <w:tc>
          <w:tcPr>
            <w:tcW w:w="2310" w:type="dxa"/>
            <w:shd w:val="clear" w:color="auto" w:fill="D9D9D9" w:themeFill="background1" w:themeFillShade="D9"/>
          </w:tcPr>
          <w:p w:rsidR="00405895" w:rsidRPr="00C86576" w:rsidRDefault="00405895" w:rsidP="00A851DA">
            <w:pPr>
              <w:rPr>
                <w:rFonts w:ascii="Arial" w:hAnsi="Arial" w:cs="Arial"/>
                <w:color w:val="000000"/>
                <w:sz w:val="24"/>
                <w:szCs w:val="24"/>
              </w:rPr>
            </w:pPr>
            <w:r w:rsidRPr="00C86576">
              <w:rPr>
                <w:rFonts w:ascii="Arial" w:hAnsi="Arial" w:cs="Arial"/>
                <w:color w:val="000000"/>
                <w:sz w:val="24"/>
                <w:szCs w:val="24"/>
              </w:rPr>
              <w:t>Student Signature</w:t>
            </w:r>
          </w:p>
        </w:tc>
        <w:tc>
          <w:tcPr>
            <w:tcW w:w="4035" w:type="dxa"/>
          </w:tcPr>
          <w:p w:rsidR="00405895" w:rsidRPr="00C86576" w:rsidRDefault="00F22743" w:rsidP="00A851DA">
            <w:pPr>
              <w:rPr>
                <w:rFonts w:ascii="Arial" w:hAnsi="Arial" w:cs="Arial"/>
                <w:color w:val="000000"/>
                <w:sz w:val="24"/>
                <w:szCs w:val="24"/>
              </w:rPr>
            </w:pPr>
            <w:r w:rsidRPr="00C86576">
              <w:rPr>
                <w:rFonts w:ascii="Arial" w:hAnsi="Arial" w:cs="Arial"/>
                <w:color w:val="000000"/>
                <w:sz w:val="24"/>
                <w:szCs w:val="24"/>
              </w:rPr>
              <w:t>Emmanuel Nsobila</w:t>
            </w:r>
          </w:p>
        </w:tc>
        <w:tc>
          <w:tcPr>
            <w:tcW w:w="1276" w:type="dxa"/>
            <w:shd w:val="clear" w:color="auto" w:fill="D9D9D9" w:themeFill="background1" w:themeFillShade="D9"/>
          </w:tcPr>
          <w:p w:rsidR="00405895" w:rsidRPr="00C86576" w:rsidRDefault="00405895" w:rsidP="00A851DA">
            <w:pPr>
              <w:rPr>
                <w:rFonts w:ascii="Arial" w:hAnsi="Arial" w:cs="Arial"/>
                <w:color w:val="000000"/>
                <w:sz w:val="24"/>
                <w:szCs w:val="24"/>
              </w:rPr>
            </w:pPr>
            <w:r w:rsidRPr="00C86576">
              <w:rPr>
                <w:rFonts w:ascii="Arial" w:hAnsi="Arial" w:cs="Arial"/>
                <w:color w:val="000000"/>
                <w:sz w:val="24"/>
                <w:szCs w:val="24"/>
              </w:rPr>
              <w:t>Date</w:t>
            </w:r>
          </w:p>
        </w:tc>
        <w:tc>
          <w:tcPr>
            <w:tcW w:w="1621" w:type="dxa"/>
          </w:tcPr>
          <w:p w:rsidR="00405895" w:rsidRPr="00C86576" w:rsidRDefault="00A44B1F" w:rsidP="00A851DA">
            <w:pPr>
              <w:rPr>
                <w:rFonts w:ascii="Arial" w:hAnsi="Arial" w:cs="Arial"/>
                <w:color w:val="000000"/>
                <w:sz w:val="24"/>
                <w:szCs w:val="24"/>
              </w:rPr>
            </w:pPr>
            <w:r>
              <w:rPr>
                <w:rFonts w:ascii="Arial" w:hAnsi="Arial" w:cs="Arial"/>
                <w:color w:val="000000"/>
                <w:sz w:val="24"/>
                <w:szCs w:val="24"/>
              </w:rPr>
              <w:t>14-10-2014</w:t>
            </w:r>
          </w:p>
        </w:tc>
      </w:tr>
    </w:tbl>
    <w:p w:rsidR="00A851DA" w:rsidRPr="00C86576" w:rsidRDefault="00A851DA" w:rsidP="00A851DA">
      <w:pPr>
        <w:rPr>
          <w:rFonts w:ascii="Arial" w:hAnsi="Arial" w:cs="Arial"/>
          <w:color w:val="000000"/>
          <w:sz w:val="24"/>
          <w:szCs w:val="24"/>
          <w:lang w:val="en-US"/>
        </w:rPr>
      </w:pPr>
    </w:p>
    <w:p w:rsidR="00A851DA" w:rsidRPr="00C86576" w:rsidRDefault="00503D7E" w:rsidP="00503D7E">
      <w:pPr>
        <w:shd w:val="clear" w:color="auto" w:fill="D9D9D9" w:themeFill="background1" w:themeFillShade="D9"/>
        <w:rPr>
          <w:rFonts w:ascii="Arial" w:hAnsi="Arial" w:cs="Arial"/>
          <w:b/>
          <w:sz w:val="24"/>
          <w:szCs w:val="24"/>
          <w:lang w:val="en-US"/>
        </w:rPr>
      </w:pPr>
      <w:r w:rsidRPr="00C86576">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C86576" w:rsidTr="00B0415E">
        <w:trPr>
          <w:trHeight w:val="249"/>
        </w:trPr>
        <w:tc>
          <w:tcPr>
            <w:tcW w:w="4621" w:type="dxa"/>
            <w:shd w:val="clear" w:color="auto" w:fill="D9D9D9" w:themeFill="background1" w:themeFillShade="D9"/>
          </w:tcPr>
          <w:p w:rsidR="00503D7E" w:rsidRPr="00C86576" w:rsidRDefault="00503D7E" w:rsidP="00503D7E">
            <w:pPr>
              <w:rPr>
                <w:rFonts w:ascii="Arial" w:hAnsi="Arial" w:cs="Arial"/>
                <w:b/>
                <w:color w:val="002060"/>
                <w:sz w:val="24"/>
                <w:szCs w:val="24"/>
              </w:rPr>
            </w:pPr>
            <w:r w:rsidRPr="00C86576">
              <w:rPr>
                <w:rFonts w:ascii="Arial" w:hAnsi="Arial" w:cs="Arial"/>
                <w:b/>
                <w:color w:val="002060"/>
                <w:sz w:val="24"/>
                <w:szCs w:val="24"/>
              </w:rPr>
              <w:t>Total Marks</w:t>
            </w:r>
          </w:p>
        </w:tc>
        <w:tc>
          <w:tcPr>
            <w:tcW w:w="4621" w:type="dxa"/>
          </w:tcPr>
          <w:p w:rsidR="00503D7E" w:rsidRPr="00C86576" w:rsidRDefault="00503D7E" w:rsidP="00503D7E">
            <w:pPr>
              <w:rPr>
                <w:rFonts w:ascii="Arial" w:hAnsi="Arial" w:cs="Arial"/>
                <w:sz w:val="24"/>
                <w:szCs w:val="24"/>
              </w:rPr>
            </w:pPr>
          </w:p>
        </w:tc>
      </w:tr>
      <w:tr w:rsidR="00503D7E" w:rsidRPr="00C86576" w:rsidTr="00B0415E">
        <w:tc>
          <w:tcPr>
            <w:tcW w:w="4621" w:type="dxa"/>
            <w:shd w:val="clear" w:color="auto" w:fill="D9D9D9" w:themeFill="background1" w:themeFillShade="D9"/>
          </w:tcPr>
          <w:p w:rsidR="00503D7E" w:rsidRPr="00C86576" w:rsidRDefault="00503D7E" w:rsidP="00503D7E">
            <w:pPr>
              <w:rPr>
                <w:rFonts w:ascii="Arial" w:hAnsi="Arial" w:cs="Arial"/>
                <w:b/>
                <w:color w:val="002060"/>
                <w:sz w:val="24"/>
                <w:szCs w:val="24"/>
              </w:rPr>
            </w:pPr>
            <w:r w:rsidRPr="00C86576">
              <w:rPr>
                <w:rFonts w:ascii="Arial" w:hAnsi="Arial" w:cs="Arial"/>
                <w:b/>
                <w:color w:val="002060"/>
                <w:sz w:val="24"/>
                <w:szCs w:val="24"/>
              </w:rPr>
              <w:t>Marks Obtained</w:t>
            </w:r>
          </w:p>
        </w:tc>
        <w:tc>
          <w:tcPr>
            <w:tcW w:w="4621" w:type="dxa"/>
          </w:tcPr>
          <w:p w:rsidR="00503D7E" w:rsidRPr="00C86576" w:rsidRDefault="00503D7E" w:rsidP="00503D7E">
            <w:pPr>
              <w:rPr>
                <w:rFonts w:ascii="Arial" w:hAnsi="Arial" w:cs="Arial"/>
                <w:sz w:val="24"/>
                <w:szCs w:val="24"/>
              </w:rPr>
            </w:pPr>
          </w:p>
        </w:tc>
      </w:tr>
      <w:tr w:rsidR="00503D7E" w:rsidRPr="00C86576" w:rsidTr="00B0415E">
        <w:tc>
          <w:tcPr>
            <w:tcW w:w="4621" w:type="dxa"/>
            <w:shd w:val="clear" w:color="auto" w:fill="D9D9D9" w:themeFill="background1" w:themeFillShade="D9"/>
          </w:tcPr>
          <w:p w:rsidR="00503D7E" w:rsidRPr="00C86576" w:rsidRDefault="00B0415E" w:rsidP="00503D7E">
            <w:pPr>
              <w:rPr>
                <w:rFonts w:ascii="Arial" w:hAnsi="Arial" w:cs="Arial"/>
                <w:b/>
                <w:color w:val="002060"/>
                <w:sz w:val="24"/>
                <w:szCs w:val="24"/>
              </w:rPr>
            </w:pPr>
            <w:r w:rsidRPr="00C86576">
              <w:rPr>
                <w:rFonts w:ascii="Arial" w:hAnsi="Arial" w:cs="Arial"/>
                <w:b/>
                <w:color w:val="002060"/>
                <w:sz w:val="24"/>
                <w:szCs w:val="24"/>
              </w:rPr>
              <w:t>Percentage / Grade</w:t>
            </w:r>
          </w:p>
        </w:tc>
        <w:tc>
          <w:tcPr>
            <w:tcW w:w="4621" w:type="dxa"/>
          </w:tcPr>
          <w:p w:rsidR="00503D7E" w:rsidRPr="00C86576" w:rsidRDefault="00503D7E" w:rsidP="00503D7E">
            <w:pPr>
              <w:rPr>
                <w:rFonts w:ascii="Arial" w:hAnsi="Arial" w:cs="Arial"/>
                <w:sz w:val="24"/>
                <w:szCs w:val="24"/>
              </w:rPr>
            </w:pPr>
          </w:p>
        </w:tc>
      </w:tr>
    </w:tbl>
    <w:p w:rsidR="00A851DA" w:rsidRPr="00C86576" w:rsidRDefault="00A851DA" w:rsidP="00503D7E">
      <w:pPr>
        <w:rPr>
          <w:rFonts w:ascii="Arial" w:hAnsi="Arial" w:cs="Arial"/>
          <w:sz w:val="24"/>
          <w:szCs w:val="24"/>
        </w:rPr>
      </w:pPr>
    </w:p>
    <w:sectPr w:rsidR="00A851DA" w:rsidRPr="00C8657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E4" w:rsidRDefault="00FA69E4" w:rsidP="00CB4D0A">
      <w:pPr>
        <w:spacing w:after="0" w:line="240" w:lineRule="auto"/>
      </w:pPr>
      <w:r>
        <w:separator/>
      </w:r>
    </w:p>
  </w:endnote>
  <w:endnote w:type="continuationSeparator" w:id="0">
    <w:p w:rsidR="00FA69E4" w:rsidRDefault="00FA6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E4" w:rsidRDefault="00FA69E4" w:rsidP="00CB4D0A">
      <w:pPr>
        <w:spacing w:after="0" w:line="240" w:lineRule="auto"/>
      </w:pPr>
      <w:r>
        <w:separator/>
      </w:r>
    </w:p>
  </w:footnote>
  <w:footnote w:type="continuationSeparator" w:id="0">
    <w:p w:rsidR="00FA69E4" w:rsidRDefault="00FA6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F0D25"/>
    <w:multiLevelType w:val="hybridMultilevel"/>
    <w:tmpl w:val="BDDAF7C0"/>
    <w:lvl w:ilvl="0" w:tplc="3D2068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BB6E44"/>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120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670F7"/>
    <w:rsid w:val="00182416"/>
    <w:rsid w:val="00187EB4"/>
    <w:rsid w:val="001F0481"/>
    <w:rsid w:val="0020451E"/>
    <w:rsid w:val="00206B9D"/>
    <w:rsid w:val="0023259C"/>
    <w:rsid w:val="002B0BD7"/>
    <w:rsid w:val="002B573D"/>
    <w:rsid w:val="002C5CB2"/>
    <w:rsid w:val="002F779F"/>
    <w:rsid w:val="00305C1E"/>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36EDD"/>
    <w:rsid w:val="00645CDD"/>
    <w:rsid w:val="006823A7"/>
    <w:rsid w:val="0070347F"/>
    <w:rsid w:val="0070678E"/>
    <w:rsid w:val="00804EFB"/>
    <w:rsid w:val="00831C11"/>
    <w:rsid w:val="00882D7A"/>
    <w:rsid w:val="008A60B4"/>
    <w:rsid w:val="008B3C31"/>
    <w:rsid w:val="008B64FE"/>
    <w:rsid w:val="008C564C"/>
    <w:rsid w:val="00935BF7"/>
    <w:rsid w:val="00945999"/>
    <w:rsid w:val="0095442C"/>
    <w:rsid w:val="00983942"/>
    <w:rsid w:val="009C37E0"/>
    <w:rsid w:val="00A14B66"/>
    <w:rsid w:val="00A44B1F"/>
    <w:rsid w:val="00A65CF7"/>
    <w:rsid w:val="00A851DA"/>
    <w:rsid w:val="00AA0DD3"/>
    <w:rsid w:val="00AC7D5B"/>
    <w:rsid w:val="00AE1481"/>
    <w:rsid w:val="00B0415E"/>
    <w:rsid w:val="00B04678"/>
    <w:rsid w:val="00B513A9"/>
    <w:rsid w:val="00BC46DF"/>
    <w:rsid w:val="00C03577"/>
    <w:rsid w:val="00C205E1"/>
    <w:rsid w:val="00C65FEA"/>
    <w:rsid w:val="00C86576"/>
    <w:rsid w:val="00CA0AC2"/>
    <w:rsid w:val="00CB4D0A"/>
    <w:rsid w:val="00CC2FB3"/>
    <w:rsid w:val="00CC575A"/>
    <w:rsid w:val="00CE773F"/>
    <w:rsid w:val="00D039AC"/>
    <w:rsid w:val="00D271D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2743"/>
    <w:rsid w:val="00FA69E4"/>
    <w:rsid w:val="00FC1F8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513A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8E91A-8B57-4809-88D0-37F5C2F0F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1633</Words>
  <Characters>9311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15</cp:revision>
  <dcterms:created xsi:type="dcterms:W3CDTF">2014-08-29T15:24:00Z</dcterms:created>
  <dcterms:modified xsi:type="dcterms:W3CDTF">2014-10-14T20:08:00Z</dcterms:modified>
</cp:coreProperties>
</file>