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01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8"/>
        <w:gridCol w:w="6488"/>
      </w:tblGrid>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sidRPr="00D96108">
              <w:rPr>
                <w:rFonts w:ascii="Arial" w:hAnsi="Arial" w:cs="Arial"/>
              </w:rPr>
              <w:t>Aleck Mandivengerei</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6108" w:rsidRDefault="00D96108">
            <w:pPr>
              <w:pStyle w:val="Default"/>
              <w:rPr>
                <w:rFonts w:ascii="Arial" w:hAnsi="Arial" w:cs="Arial"/>
              </w:rPr>
            </w:pPr>
            <w:r>
              <w:rPr>
                <w:rFonts w:ascii="Arial" w:hAnsi="Arial" w:cs="Arial"/>
              </w:rPr>
              <w:t>1674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Pr>
                <w:rFonts w:ascii="Arial" w:hAnsi="Arial" w:cs="Arial"/>
              </w:rPr>
              <w:t>Diploma in Forensic Accounting</w:t>
            </w:r>
            <w:r w:rsidR="009B54B2">
              <w:rPr>
                <w:rFonts w:ascii="Arial" w:hAnsi="Arial" w:cs="Arial"/>
              </w:rPr>
              <w:t xml:space="preserve"> (Level 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9B54B2">
            <w:pPr>
              <w:rPr>
                <w:rFonts w:ascii="Arial" w:hAnsi="Arial" w:cs="Arial"/>
                <w:sz w:val="24"/>
                <w:szCs w:val="24"/>
              </w:rPr>
            </w:pPr>
            <w:r>
              <w:rPr>
                <w:rFonts w:ascii="Arial" w:hAnsi="Arial" w:cs="Arial"/>
                <w:sz w:val="24"/>
                <w:szCs w:val="24"/>
              </w:rP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527FE" w:rsidRDefault="008527FE" w:rsidP="00A851DA">
            <w:pPr>
              <w:rPr>
                <w:rFonts w:ascii="Arial" w:hAnsi="Arial" w:cs="Arial"/>
                <w:sz w:val="24"/>
                <w:szCs w:val="24"/>
              </w:rPr>
            </w:pPr>
          </w:p>
          <w:p w:rsidR="008527FE" w:rsidRDefault="008527FE" w:rsidP="008527FE">
            <w:pPr>
              <w:pStyle w:val="ListParagraph"/>
              <w:numPr>
                <w:ilvl w:val="0"/>
                <w:numId w:val="6"/>
              </w:numPr>
              <w:spacing w:after="160" w:line="360" w:lineRule="auto"/>
              <w:jc w:val="both"/>
              <w:rPr>
                <w:rFonts w:ascii="Arial" w:hAnsi="Arial" w:cs="Arial"/>
                <w:sz w:val="24"/>
              </w:rPr>
            </w:pPr>
            <w:r w:rsidRPr="00FA3357">
              <w:rPr>
                <w:rFonts w:ascii="Arial" w:hAnsi="Arial" w:cs="Arial"/>
                <w:sz w:val="24"/>
              </w:rPr>
              <w:t>i)</w:t>
            </w:r>
            <w:r>
              <w:rPr>
                <w:rFonts w:ascii="Arial" w:hAnsi="Arial" w:cs="Arial"/>
                <w:sz w:val="24"/>
              </w:rPr>
              <w:t xml:space="preserve"> Generally investigations are classified as either proactive or reactive. Reactive investigations are initiated by a part external to the organisation such as a vendor, former employee or a customer complaining against the organisation while proactive investigations are initiated by the investigator without any reports from the aggrieved party. An example may be a case of procurement fraud, when a supplier complains about consistently losing business an investigation into this case is reactive while if an investigator through analysis of procurement documents finds red flags of procurement fraud, the resulting investigation is proactive.</w:t>
            </w:r>
          </w:p>
          <w:p w:rsidR="008527FE" w:rsidRDefault="008527FE" w:rsidP="008527FE">
            <w:pPr>
              <w:spacing w:line="360" w:lineRule="auto"/>
              <w:ind w:left="720"/>
              <w:jc w:val="both"/>
              <w:rPr>
                <w:rFonts w:ascii="Arial" w:hAnsi="Arial" w:cs="Arial"/>
                <w:sz w:val="24"/>
              </w:rPr>
            </w:pPr>
            <w:r>
              <w:rPr>
                <w:rFonts w:ascii="Arial" w:hAnsi="Arial" w:cs="Arial"/>
                <w:sz w:val="24"/>
              </w:rPr>
              <w:t xml:space="preserve">Another difference is that reactive investigations deals with crimes that has already been committed, with all elements of crime and have shown themselves fully while proactive </w:t>
            </w:r>
            <w:r w:rsidRPr="007C1C4D">
              <w:rPr>
                <w:rFonts w:ascii="Arial" w:hAnsi="Arial" w:cs="Arial"/>
                <w:sz w:val="24"/>
              </w:rPr>
              <w:t>investigations</w:t>
            </w:r>
            <w:r>
              <w:rPr>
                <w:rFonts w:ascii="Arial" w:hAnsi="Arial" w:cs="Arial"/>
                <w:sz w:val="24"/>
              </w:rPr>
              <w:t xml:space="preserve"> may deal with offences that may not have been committed or are likely to show up fully in the future.</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 xml:space="preserve">ii) Solvability factors deals with the extent to which case can be solved and the degree with which it can be resolved. Solvability factors can be categorized into weighted and unweighted. Weighted solvability factors place a greater value and importance on one factor over another such as placing a greater importance to the availability of fingerprints at a scene of crime over </w:t>
            </w:r>
            <w:r>
              <w:rPr>
                <w:rFonts w:ascii="Arial" w:hAnsi="Arial" w:cs="Arial"/>
                <w:sz w:val="24"/>
              </w:rPr>
              <w:lastRenderedPageBreak/>
              <w:t>the availability of an eye witness while unweighted solvability factors place a greater emphasis on all factors for a particular case.</w:t>
            </w:r>
          </w:p>
          <w:p w:rsidR="008527FE" w:rsidRDefault="008527FE" w:rsidP="008527FE">
            <w:pPr>
              <w:spacing w:line="360" w:lineRule="auto"/>
              <w:ind w:left="720"/>
              <w:jc w:val="both"/>
              <w:rPr>
                <w:rFonts w:ascii="Arial" w:hAnsi="Arial" w:cs="Arial"/>
                <w:sz w:val="24"/>
              </w:rPr>
            </w:pPr>
            <w:r>
              <w:rPr>
                <w:rFonts w:ascii="Arial" w:hAnsi="Arial" w:cs="Arial"/>
                <w:sz w:val="24"/>
              </w:rPr>
              <w:t>In weighted solvability factors are ranked in their order of importance while such a ranking is not important in unweighted solvability factors.</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iii) Goal setting and planning is essential for the soundness of the investigation process. It ensures that time available for the investigation is properly utilized to achieve a defined goal such as seeking reimbursement or incarceration of the subject.</w:t>
            </w:r>
          </w:p>
          <w:p w:rsidR="008527FE" w:rsidRDefault="008527FE" w:rsidP="008527FE">
            <w:pPr>
              <w:spacing w:line="360" w:lineRule="auto"/>
              <w:ind w:left="720"/>
              <w:jc w:val="both"/>
              <w:rPr>
                <w:rFonts w:ascii="Arial" w:hAnsi="Arial" w:cs="Arial"/>
                <w:sz w:val="24"/>
              </w:rPr>
            </w:pPr>
            <w:r>
              <w:rPr>
                <w:rFonts w:ascii="Arial" w:hAnsi="Arial" w:cs="Arial"/>
                <w:sz w:val="24"/>
              </w:rPr>
              <w:t xml:space="preserve"> Properly planning ensures that an investigation is successful since without planning many are bound to fail. It’s in line with the saying that people do not plan to fail but they actually fail to plan. Planning makes efficient and effective use of time and available resources such planning in advance on the required technologies to use as opposed to investigating cases in a haphazard manner.</w:t>
            </w:r>
          </w:p>
          <w:p w:rsidR="008527FE" w:rsidRDefault="008527FE" w:rsidP="008527FE">
            <w:pPr>
              <w:spacing w:line="360" w:lineRule="auto"/>
              <w:ind w:left="720"/>
              <w:jc w:val="both"/>
              <w:rPr>
                <w:rFonts w:ascii="Arial" w:hAnsi="Arial" w:cs="Arial"/>
                <w:sz w:val="24"/>
              </w:rPr>
            </w:pPr>
            <w:r>
              <w:rPr>
                <w:rFonts w:ascii="Arial" w:hAnsi="Arial" w:cs="Arial"/>
                <w:sz w:val="24"/>
              </w:rPr>
              <w:t>Planning guarantees that finances and personnel are adequate to complete successfully the case investigation to achieve a set goal.</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 xml:space="preserve">iv) The major goals of a good investigative plan are to maintain focus, control growth and promote adaptability, </w:t>
            </w:r>
            <w:sdt>
              <w:sdtPr>
                <w:rPr>
                  <w:rFonts w:ascii="Arial" w:hAnsi="Arial" w:cs="Arial"/>
                  <w:sz w:val="24"/>
                </w:rPr>
                <w:id w:val="503253805"/>
                <w:citation/>
              </w:sdtPr>
              <w:sdtContent>
                <w:r>
                  <w:rPr>
                    <w:rFonts w:ascii="Arial" w:hAnsi="Arial" w:cs="Arial"/>
                    <w:sz w:val="24"/>
                  </w:rPr>
                  <w:fldChar w:fldCharType="begin"/>
                </w:r>
                <w:r>
                  <w:rPr>
                    <w:rFonts w:ascii="Arial" w:hAnsi="Arial" w:cs="Arial"/>
                    <w:sz w:val="24"/>
                  </w:rPr>
                  <w:instrText xml:space="preserve"> CITATION Sil07 \l 1033 </w:instrText>
                </w:r>
                <w:r>
                  <w:rPr>
                    <w:rFonts w:ascii="Arial" w:hAnsi="Arial" w:cs="Arial"/>
                    <w:sz w:val="24"/>
                  </w:rPr>
                  <w:fldChar w:fldCharType="separate"/>
                </w:r>
                <w:r w:rsidRPr="00D764BA">
                  <w:rPr>
                    <w:rFonts w:ascii="Arial" w:hAnsi="Arial" w:cs="Arial"/>
                    <w:noProof/>
                    <w:sz w:val="24"/>
                  </w:rPr>
                  <w:t>(Silverstone &amp; Sheetz, 2007)</w:t>
                </w:r>
                <w:r>
                  <w:rPr>
                    <w:rFonts w:ascii="Arial" w:hAnsi="Arial" w:cs="Arial"/>
                    <w:sz w:val="24"/>
                  </w:rPr>
                  <w:fldChar w:fldCharType="end"/>
                </w:r>
              </w:sdtContent>
            </w:sdt>
            <w:r>
              <w:rPr>
                <w:rFonts w:ascii="Arial" w:hAnsi="Arial" w:cs="Arial"/>
                <w:sz w:val="24"/>
              </w:rPr>
              <w:t>.</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 xml:space="preserve">Maintaining focus entails that the investigator’s efforts must be in line with the overall goal of the investigation.  A focused investigation eradicates duplication of investigative efforts and oversight of leads which will hinder the progress of the case. </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Control growth means that there is need to control financial crime investigation. Financial crime investigations can grow incorporating numerous other cases, individuals and offices making it very complex to investigate. A strong investigative plan recognizes and requires that an investigator manages the growth of cases they are investing.</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 xml:space="preserve">Financial crime investigations changes over time, they can grow as in most cases and can shrink though in rare cases. To ensure continuity of cases the </w:t>
            </w:r>
            <w:r>
              <w:rPr>
                <w:rFonts w:ascii="Arial" w:hAnsi="Arial" w:cs="Arial"/>
                <w:sz w:val="24"/>
              </w:rPr>
              <w:lastRenderedPageBreak/>
              <w:t>investigation plan must have built-in adaptability to cater for changes in circumstances.</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 xml:space="preserve">v) Basically there three stages involved in the investigation plan and these are financial planning, personnel planning and technology. </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b/>
                <w:sz w:val="24"/>
              </w:rPr>
            </w:pPr>
            <w:r w:rsidRPr="00CE69FD">
              <w:rPr>
                <w:rFonts w:ascii="Arial" w:hAnsi="Arial" w:cs="Arial"/>
                <w:b/>
                <w:sz w:val="24"/>
              </w:rPr>
              <w:t xml:space="preserve">Financial planning </w:t>
            </w:r>
          </w:p>
          <w:p w:rsidR="008527FE" w:rsidRDefault="008527FE" w:rsidP="008527FE">
            <w:pPr>
              <w:spacing w:line="360" w:lineRule="auto"/>
              <w:ind w:left="720"/>
              <w:jc w:val="both"/>
              <w:rPr>
                <w:rFonts w:ascii="Arial" w:hAnsi="Arial" w:cs="Arial"/>
                <w:sz w:val="24"/>
              </w:rPr>
            </w:pPr>
            <w:r w:rsidRPr="00CE69FD">
              <w:rPr>
                <w:rFonts w:ascii="Arial" w:hAnsi="Arial" w:cs="Arial"/>
                <w:sz w:val="24"/>
              </w:rPr>
              <w:t xml:space="preserve">Investigations requires considerable sums of money and financial planning will help to save money. </w:t>
            </w:r>
            <w:r>
              <w:rPr>
                <w:rFonts w:ascii="Arial" w:hAnsi="Arial" w:cs="Arial"/>
                <w:sz w:val="24"/>
              </w:rPr>
              <w:t>If an investigation is costly alternatives should be sought. The goal of financial planning is to effectively and efficiently the financial resources that are available. Financial analysis also determines the technologies to use and personnel to use for the investigation.</w:t>
            </w:r>
          </w:p>
          <w:p w:rsidR="008527FE" w:rsidRPr="00CE69FD" w:rsidRDefault="008527FE" w:rsidP="008527FE">
            <w:pPr>
              <w:spacing w:line="360" w:lineRule="auto"/>
              <w:ind w:left="720"/>
              <w:jc w:val="both"/>
              <w:rPr>
                <w:rFonts w:ascii="Arial" w:hAnsi="Arial" w:cs="Arial"/>
                <w:b/>
                <w:sz w:val="24"/>
              </w:rPr>
            </w:pPr>
            <w:r w:rsidRPr="00CE69FD">
              <w:rPr>
                <w:rFonts w:ascii="Arial" w:hAnsi="Arial" w:cs="Arial"/>
                <w:b/>
                <w:sz w:val="24"/>
              </w:rPr>
              <w:t>Personnel planning</w:t>
            </w:r>
          </w:p>
          <w:p w:rsidR="008527FE" w:rsidRDefault="008527FE" w:rsidP="008527FE">
            <w:pPr>
              <w:spacing w:line="360" w:lineRule="auto"/>
              <w:ind w:left="720"/>
              <w:jc w:val="both"/>
              <w:rPr>
                <w:rFonts w:ascii="Arial" w:hAnsi="Arial" w:cs="Arial"/>
                <w:sz w:val="24"/>
              </w:rPr>
            </w:pPr>
            <w:r>
              <w:rPr>
                <w:rFonts w:ascii="Arial" w:hAnsi="Arial" w:cs="Arial"/>
                <w:sz w:val="24"/>
              </w:rPr>
              <w:t>To successfully investigate a case, the investigating team must have all the necessary skills and experience. It is rare for an investigator to have all skills and experience required for the case. There is need to outsource the skills required from external parties. Examples of experts that are required include Certified Public Accountants (CPA), Attorneys and computer experts.</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b/>
                <w:sz w:val="24"/>
              </w:rPr>
            </w:pPr>
            <w:r>
              <w:rPr>
                <w:rFonts w:ascii="Arial" w:hAnsi="Arial" w:cs="Arial"/>
                <w:sz w:val="24"/>
              </w:rPr>
              <w:t xml:space="preserve"> </w:t>
            </w:r>
            <w:r w:rsidRPr="005946F1">
              <w:rPr>
                <w:rFonts w:ascii="Arial" w:hAnsi="Arial" w:cs="Arial"/>
                <w:b/>
                <w:sz w:val="24"/>
              </w:rPr>
              <w:t xml:space="preserve">Technology planning </w:t>
            </w:r>
          </w:p>
          <w:p w:rsidR="008527FE" w:rsidRPr="00A0150F" w:rsidRDefault="008527FE" w:rsidP="008527FE">
            <w:pPr>
              <w:spacing w:line="360" w:lineRule="auto"/>
              <w:ind w:left="720"/>
              <w:jc w:val="both"/>
              <w:rPr>
                <w:rFonts w:ascii="Arial" w:hAnsi="Arial" w:cs="Arial"/>
                <w:sz w:val="24"/>
              </w:rPr>
            </w:pPr>
            <w:r w:rsidRPr="00A0150F">
              <w:rPr>
                <w:rFonts w:ascii="Arial" w:hAnsi="Arial" w:cs="Arial"/>
                <w:sz w:val="24"/>
              </w:rPr>
              <w:t xml:space="preserve">The last stage of planning is to consider the agility of technology and how the investigator </w:t>
            </w:r>
            <w:r>
              <w:rPr>
                <w:rFonts w:ascii="Arial" w:hAnsi="Arial" w:cs="Arial"/>
                <w:sz w:val="24"/>
              </w:rPr>
              <w:t>fits in. The use of current technologies can retain client interest in the investigator and also assist the investigator to achieve the set objectives. The investigator and his team must stay abreast with new technology and where complicated systems are used computer experts must be consulted.</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 xml:space="preserve">vi) The three main areas of intelligence gathering are surveillance, database searches and trash collections, </w:t>
            </w:r>
            <w:sdt>
              <w:sdtPr>
                <w:rPr>
                  <w:rFonts w:ascii="Arial" w:hAnsi="Arial" w:cs="Arial"/>
                  <w:sz w:val="24"/>
                </w:rPr>
                <w:id w:val="1706754386"/>
                <w:citation/>
              </w:sdtPr>
              <w:sdtContent>
                <w:r>
                  <w:rPr>
                    <w:rFonts w:ascii="Arial" w:hAnsi="Arial" w:cs="Arial"/>
                    <w:sz w:val="24"/>
                  </w:rPr>
                  <w:fldChar w:fldCharType="begin"/>
                </w:r>
                <w:r>
                  <w:rPr>
                    <w:rFonts w:ascii="Arial" w:hAnsi="Arial" w:cs="Arial"/>
                    <w:sz w:val="24"/>
                  </w:rPr>
                  <w:instrText xml:space="preserve"> CITATION Sil07 \l 1033 </w:instrText>
                </w:r>
                <w:r>
                  <w:rPr>
                    <w:rFonts w:ascii="Arial" w:hAnsi="Arial" w:cs="Arial"/>
                    <w:sz w:val="24"/>
                  </w:rPr>
                  <w:fldChar w:fldCharType="separate"/>
                </w:r>
                <w:r w:rsidRPr="00701E6A">
                  <w:rPr>
                    <w:rFonts w:ascii="Arial" w:hAnsi="Arial" w:cs="Arial"/>
                    <w:noProof/>
                    <w:sz w:val="24"/>
                  </w:rPr>
                  <w:t>(Silverstone &amp; Sheetz, 2007)</w:t>
                </w:r>
                <w:r>
                  <w:rPr>
                    <w:rFonts w:ascii="Arial" w:hAnsi="Arial" w:cs="Arial"/>
                    <w:sz w:val="24"/>
                  </w:rPr>
                  <w:fldChar w:fldCharType="end"/>
                </w:r>
              </w:sdtContent>
            </w:sdt>
            <w:r>
              <w:rPr>
                <w:rFonts w:ascii="Arial" w:hAnsi="Arial" w:cs="Arial"/>
                <w:sz w:val="24"/>
              </w:rPr>
              <w:t>.</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Surveillance can be defined as planned observation of people and objects. There are two types of surveillance which are mobile and fixed surveillance. Mobile surveillance also known as shadowing or tailing can be done on foot or by vehicle to observe people moving from one location to another. On the other hand, fixed surveillance is used when a person remains at one place.</w:t>
            </w:r>
          </w:p>
          <w:p w:rsidR="008527FE" w:rsidRDefault="008527FE" w:rsidP="008527FE">
            <w:pPr>
              <w:spacing w:line="360" w:lineRule="auto"/>
              <w:ind w:left="720"/>
              <w:jc w:val="both"/>
              <w:rPr>
                <w:rFonts w:ascii="Arial" w:hAnsi="Arial" w:cs="Arial"/>
                <w:sz w:val="24"/>
              </w:rPr>
            </w:pPr>
            <w:r>
              <w:rPr>
                <w:rFonts w:ascii="Arial" w:hAnsi="Arial" w:cs="Arial"/>
                <w:sz w:val="24"/>
              </w:rPr>
              <w:lastRenderedPageBreak/>
              <w:t>Database searches are rich sources of obtaining information pertinent to a case. Databases can be categorized into public and private. Private databases are maintained by private individuals and has wealth information but is accessed at a fee and are usually well organised. Public databases are maintained by government agencies and are accessed for free such as court records.</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r>
              <w:rPr>
                <w:rFonts w:ascii="Arial" w:hAnsi="Arial" w:cs="Arial"/>
                <w:sz w:val="24"/>
              </w:rPr>
              <w:t>Intelligence can be gathered from trash collections. Though a bit degrading valuable information can be obtained from trashes since most people are mindful about the way they discard documentary waste.  Valuable information that strengthen a case can be obtained from trashes.</w:t>
            </w:r>
          </w:p>
          <w:p w:rsidR="008527FE" w:rsidRDefault="008527FE" w:rsidP="008527FE">
            <w:pPr>
              <w:spacing w:line="360" w:lineRule="auto"/>
              <w:ind w:left="720"/>
              <w:jc w:val="both"/>
              <w:rPr>
                <w:rFonts w:ascii="Arial" w:hAnsi="Arial" w:cs="Arial"/>
                <w:sz w:val="24"/>
              </w:rPr>
            </w:pPr>
          </w:p>
          <w:p w:rsidR="008527FE" w:rsidRDefault="008527FE" w:rsidP="008527FE">
            <w:pPr>
              <w:spacing w:line="360" w:lineRule="auto"/>
              <w:ind w:left="720"/>
              <w:jc w:val="both"/>
              <w:rPr>
                <w:rFonts w:ascii="Arial" w:hAnsi="Arial" w:cs="Arial"/>
                <w:sz w:val="24"/>
              </w:rPr>
            </w:pPr>
          </w:p>
          <w:p w:rsidR="008527FE" w:rsidRDefault="008527FE" w:rsidP="008527FE">
            <w:pPr>
              <w:pStyle w:val="ListParagraph"/>
              <w:numPr>
                <w:ilvl w:val="0"/>
                <w:numId w:val="6"/>
              </w:numPr>
              <w:spacing w:after="160" w:line="360" w:lineRule="auto"/>
              <w:jc w:val="both"/>
              <w:rPr>
                <w:rFonts w:ascii="Arial" w:hAnsi="Arial" w:cs="Arial"/>
                <w:sz w:val="24"/>
              </w:rPr>
            </w:pPr>
            <w:r>
              <w:rPr>
                <w:rFonts w:ascii="Arial" w:hAnsi="Arial" w:cs="Arial"/>
                <w:sz w:val="24"/>
              </w:rPr>
              <w:t>a) Private database</w:t>
            </w:r>
          </w:p>
          <w:p w:rsidR="008527FE" w:rsidRDefault="008527FE" w:rsidP="008527FE">
            <w:pPr>
              <w:pStyle w:val="ListParagraph"/>
              <w:spacing w:line="360" w:lineRule="auto"/>
              <w:jc w:val="both"/>
              <w:rPr>
                <w:rFonts w:ascii="Arial" w:hAnsi="Arial" w:cs="Arial"/>
                <w:sz w:val="24"/>
              </w:rPr>
            </w:pPr>
            <w:r>
              <w:rPr>
                <w:rFonts w:ascii="Arial" w:hAnsi="Arial" w:cs="Arial"/>
                <w:sz w:val="24"/>
              </w:rPr>
              <w:t>Private database are database sources designed and managed by private individuals whose access is restricted. Private databases are not accessed freely by private individuals although law enforcement agency may access the data freely for investigation purposes.  Private persons who intend to use them must pay a fee. This database includes both commercial and government sources and are very powerful sources of data. Private databases contain broad information such as credit rating information and real estate information.</w:t>
            </w:r>
          </w:p>
          <w:p w:rsidR="008527FE" w:rsidRPr="00560A40" w:rsidRDefault="008527FE" w:rsidP="008527FE">
            <w:pPr>
              <w:pStyle w:val="ListParagraph"/>
              <w:spacing w:line="360" w:lineRule="auto"/>
              <w:jc w:val="both"/>
              <w:rPr>
                <w:rFonts w:ascii="Arial" w:hAnsi="Arial" w:cs="Arial"/>
                <w:sz w:val="24"/>
              </w:rPr>
            </w:pPr>
            <w:r>
              <w:rPr>
                <w:rFonts w:ascii="Arial" w:hAnsi="Arial" w:cs="Arial"/>
                <w:sz w:val="24"/>
              </w:rPr>
              <w:tab/>
            </w:r>
          </w:p>
          <w:p w:rsidR="008527FE" w:rsidRDefault="008527FE" w:rsidP="008527FE">
            <w:pPr>
              <w:spacing w:line="360" w:lineRule="auto"/>
              <w:ind w:left="720"/>
              <w:jc w:val="both"/>
              <w:rPr>
                <w:rFonts w:ascii="Arial" w:hAnsi="Arial" w:cs="Arial"/>
                <w:sz w:val="24"/>
              </w:rPr>
            </w:pPr>
            <w:r>
              <w:rPr>
                <w:rFonts w:ascii="Arial" w:hAnsi="Arial" w:cs="Arial"/>
                <w:sz w:val="24"/>
              </w:rPr>
              <w:t>b) Public database</w:t>
            </w:r>
          </w:p>
          <w:p w:rsidR="008527FE" w:rsidRDefault="008527FE" w:rsidP="008527FE">
            <w:pPr>
              <w:spacing w:line="360" w:lineRule="auto"/>
              <w:ind w:left="720"/>
              <w:jc w:val="both"/>
              <w:rPr>
                <w:rFonts w:ascii="Arial" w:hAnsi="Arial" w:cs="Arial"/>
                <w:sz w:val="24"/>
              </w:rPr>
            </w:pPr>
            <w:r>
              <w:rPr>
                <w:rFonts w:ascii="Arial" w:hAnsi="Arial" w:cs="Arial"/>
                <w:sz w:val="24"/>
              </w:rPr>
              <w:t>Public database is maintained by government departments. The sources can also be found online through the websites of the government departments. The cost of obtaining the information if very low cost to free. However unlike private database searches which offers on stop searches public database provides information on an entity to entity basis. The greatest public database search in the world is the world wide web (www). On a national level public database yields information such as property and tax assessments records, educational records at state universities and court records at all courts both civil and criminal records.</w:t>
            </w:r>
          </w:p>
          <w:p w:rsidR="008527FE" w:rsidRDefault="008527FE" w:rsidP="008527FE">
            <w:pPr>
              <w:pStyle w:val="ListParagraph"/>
              <w:numPr>
                <w:ilvl w:val="0"/>
                <w:numId w:val="6"/>
              </w:numPr>
              <w:spacing w:after="160" w:line="360" w:lineRule="auto"/>
              <w:jc w:val="both"/>
              <w:rPr>
                <w:rFonts w:ascii="Arial" w:hAnsi="Arial" w:cs="Arial"/>
                <w:sz w:val="24"/>
              </w:rPr>
            </w:pPr>
            <w:r>
              <w:rPr>
                <w:rFonts w:ascii="Arial" w:hAnsi="Arial" w:cs="Arial"/>
                <w:sz w:val="24"/>
              </w:rPr>
              <w:lastRenderedPageBreak/>
              <w:t>The statement that financial crime investigations generally results in higher volumes of evidence and more complicated theories of evidence than non-financial crime investigations is true.</w:t>
            </w:r>
          </w:p>
          <w:p w:rsidR="008527FE" w:rsidRDefault="008527FE" w:rsidP="008527FE">
            <w:pPr>
              <w:pStyle w:val="ListParagraph"/>
              <w:spacing w:line="360" w:lineRule="auto"/>
              <w:jc w:val="both"/>
              <w:rPr>
                <w:rFonts w:ascii="Arial" w:hAnsi="Arial" w:cs="Arial"/>
                <w:sz w:val="24"/>
              </w:rPr>
            </w:pPr>
          </w:p>
          <w:p w:rsidR="008527FE" w:rsidRDefault="008527FE" w:rsidP="008527FE">
            <w:pPr>
              <w:pStyle w:val="ListParagraph"/>
              <w:spacing w:line="360" w:lineRule="auto"/>
              <w:jc w:val="both"/>
              <w:rPr>
                <w:rFonts w:ascii="Arial" w:hAnsi="Arial" w:cs="Arial"/>
                <w:sz w:val="24"/>
              </w:rPr>
            </w:pPr>
            <w:r>
              <w:rPr>
                <w:rFonts w:ascii="Arial" w:hAnsi="Arial" w:cs="Arial"/>
                <w:sz w:val="24"/>
              </w:rPr>
              <w:t xml:space="preserve">Financial crimes are rarely proven directly. In most cases financial crimes are proved circumstantially by inference and more documentary evidence will be required hence the large volumes of evidence as compared to non-financial crime investigations. </w:t>
            </w:r>
          </w:p>
          <w:p w:rsidR="008527FE" w:rsidRDefault="008527FE" w:rsidP="008527FE">
            <w:pPr>
              <w:pStyle w:val="ListParagraph"/>
              <w:spacing w:line="360" w:lineRule="auto"/>
              <w:jc w:val="both"/>
              <w:rPr>
                <w:rFonts w:ascii="Arial" w:hAnsi="Arial" w:cs="Arial"/>
                <w:sz w:val="24"/>
              </w:rPr>
            </w:pPr>
          </w:p>
          <w:p w:rsidR="008527FE" w:rsidRDefault="008527FE" w:rsidP="008527FE">
            <w:pPr>
              <w:pStyle w:val="ListParagraph"/>
              <w:spacing w:line="360" w:lineRule="auto"/>
              <w:jc w:val="both"/>
              <w:rPr>
                <w:rFonts w:ascii="Arial" w:hAnsi="Arial" w:cs="Arial"/>
                <w:sz w:val="24"/>
              </w:rPr>
            </w:pPr>
            <w:r>
              <w:rPr>
                <w:rFonts w:ascii="Arial" w:hAnsi="Arial" w:cs="Arial"/>
                <w:sz w:val="24"/>
              </w:rPr>
              <w:t>Financial crimes are usually committed by educated subjects as they have been called white collar crimes or the crimes of the elite. The level of ingenuity employed to committed these crime is high leading to the increased complication of the theories of evidence than non-financial crime investigations.</w:t>
            </w:r>
          </w:p>
          <w:p w:rsidR="008527FE" w:rsidRDefault="008527FE" w:rsidP="008527FE">
            <w:pPr>
              <w:pStyle w:val="ListParagraph"/>
              <w:spacing w:line="360" w:lineRule="auto"/>
              <w:jc w:val="both"/>
              <w:rPr>
                <w:rFonts w:ascii="Arial" w:hAnsi="Arial" w:cs="Arial"/>
                <w:sz w:val="24"/>
              </w:rPr>
            </w:pPr>
          </w:p>
          <w:p w:rsidR="008527FE" w:rsidRDefault="008527FE" w:rsidP="008527FE">
            <w:pPr>
              <w:pStyle w:val="ListParagraph"/>
              <w:spacing w:line="360" w:lineRule="auto"/>
              <w:jc w:val="both"/>
              <w:rPr>
                <w:rFonts w:ascii="Arial" w:hAnsi="Arial" w:cs="Arial"/>
                <w:sz w:val="24"/>
              </w:rPr>
            </w:pPr>
            <w:r>
              <w:rPr>
                <w:rFonts w:ascii="Arial" w:hAnsi="Arial" w:cs="Arial"/>
                <w:sz w:val="24"/>
              </w:rPr>
              <w:t>Financial crimes can be perpetrated against an organisation for a period more than a year and if the case is to be investigated the volumes of evidence will be very high if all the financial records of a company for the whole year are required for a case. This will also be a complex case requiring more complicated theories of evidence.</w:t>
            </w:r>
          </w:p>
          <w:p w:rsidR="004C446C" w:rsidRDefault="004C446C" w:rsidP="008527FE">
            <w:pPr>
              <w:pStyle w:val="ListParagraph"/>
              <w:spacing w:line="360" w:lineRule="auto"/>
              <w:jc w:val="both"/>
              <w:rPr>
                <w:rFonts w:ascii="Arial" w:hAnsi="Arial" w:cs="Arial"/>
                <w:sz w:val="24"/>
              </w:rPr>
            </w:pPr>
          </w:p>
          <w:p w:rsidR="004C446C" w:rsidRDefault="004C446C" w:rsidP="008527FE">
            <w:pPr>
              <w:pStyle w:val="ListParagraph"/>
              <w:spacing w:line="360" w:lineRule="auto"/>
              <w:jc w:val="both"/>
              <w:rPr>
                <w:rFonts w:ascii="Arial" w:hAnsi="Arial" w:cs="Arial"/>
                <w:sz w:val="24"/>
              </w:rPr>
            </w:pPr>
            <w:r>
              <w:rPr>
                <w:rFonts w:ascii="Arial" w:hAnsi="Arial" w:cs="Arial"/>
                <w:sz w:val="24"/>
              </w:rPr>
              <w:t>Financial crimes can be perpetrated by organised crime rings or very influential persons in the state, terrorist groups or persons very high up in the hierarchy of an organisation. The volume of evidence to successfully prosecute such cases will be large and more complex compared to other traditional crimes such as rape, murder or robbery.</w:t>
            </w:r>
          </w:p>
          <w:p w:rsidR="004C446C" w:rsidRDefault="004C446C" w:rsidP="008527FE">
            <w:pPr>
              <w:pStyle w:val="ListParagraph"/>
              <w:spacing w:line="360" w:lineRule="auto"/>
              <w:jc w:val="both"/>
              <w:rPr>
                <w:rFonts w:ascii="Arial" w:hAnsi="Arial" w:cs="Arial"/>
                <w:sz w:val="24"/>
              </w:rPr>
            </w:pPr>
          </w:p>
          <w:p w:rsidR="004C446C" w:rsidRDefault="004C446C" w:rsidP="008527FE">
            <w:pPr>
              <w:pStyle w:val="ListParagraph"/>
              <w:spacing w:line="360" w:lineRule="auto"/>
              <w:jc w:val="both"/>
              <w:rPr>
                <w:rFonts w:ascii="Arial" w:hAnsi="Arial" w:cs="Arial"/>
                <w:sz w:val="24"/>
              </w:rPr>
            </w:pPr>
            <w:r>
              <w:rPr>
                <w:rFonts w:ascii="Arial" w:hAnsi="Arial" w:cs="Arial"/>
                <w:sz w:val="24"/>
              </w:rPr>
              <w:t>The value involved in financial crimes is usually large such as the Enron case where the losses amounted to billions of dollars and resulted in the demise of a very large audit firm Arthur Andersen which could have been now at par with the big four accounting firms. Such cases require large amounts of evidence and are extremely complex.</w:t>
            </w:r>
          </w:p>
          <w:p w:rsidR="004C446C" w:rsidRDefault="004C446C" w:rsidP="008527FE">
            <w:pPr>
              <w:pStyle w:val="ListParagraph"/>
              <w:spacing w:line="360" w:lineRule="auto"/>
              <w:jc w:val="both"/>
              <w:rPr>
                <w:rFonts w:ascii="Arial" w:hAnsi="Arial" w:cs="Arial"/>
                <w:sz w:val="24"/>
              </w:rPr>
            </w:pPr>
            <w:r>
              <w:rPr>
                <w:rFonts w:ascii="Arial" w:hAnsi="Arial" w:cs="Arial"/>
                <w:sz w:val="24"/>
              </w:rPr>
              <w:t xml:space="preserve"> </w:t>
            </w:r>
          </w:p>
          <w:p w:rsidR="008527FE" w:rsidRDefault="008527FE" w:rsidP="008527FE">
            <w:pPr>
              <w:pStyle w:val="ListParagraph"/>
              <w:spacing w:line="360" w:lineRule="auto"/>
              <w:jc w:val="both"/>
              <w:rPr>
                <w:rFonts w:ascii="Arial" w:hAnsi="Arial" w:cs="Arial"/>
                <w:sz w:val="24"/>
              </w:rPr>
            </w:pPr>
          </w:p>
          <w:p w:rsidR="008527FE" w:rsidRDefault="008527FE" w:rsidP="008527FE">
            <w:pPr>
              <w:pStyle w:val="ListParagraph"/>
              <w:spacing w:line="360" w:lineRule="auto"/>
              <w:jc w:val="both"/>
              <w:rPr>
                <w:rFonts w:ascii="Arial" w:hAnsi="Arial" w:cs="Arial"/>
                <w:sz w:val="24"/>
              </w:rPr>
            </w:pPr>
          </w:p>
          <w:p w:rsidR="008527FE" w:rsidRDefault="008527FE" w:rsidP="008527FE">
            <w:pPr>
              <w:spacing w:line="360" w:lineRule="auto"/>
              <w:ind w:left="360"/>
              <w:jc w:val="both"/>
              <w:rPr>
                <w:rFonts w:ascii="Arial" w:hAnsi="Arial" w:cs="Arial"/>
                <w:b/>
                <w:sz w:val="24"/>
              </w:rPr>
            </w:pPr>
            <w:r w:rsidRPr="009E3F14">
              <w:rPr>
                <w:rFonts w:ascii="Arial" w:hAnsi="Arial" w:cs="Arial"/>
                <w:b/>
                <w:sz w:val="24"/>
              </w:rPr>
              <w:lastRenderedPageBreak/>
              <w:t xml:space="preserve">Cases study </w:t>
            </w:r>
          </w:p>
          <w:p w:rsidR="008527FE" w:rsidRDefault="008527FE" w:rsidP="008527FE">
            <w:pPr>
              <w:pStyle w:val="ListParagraph"/>
              <w:numPr>
                <w:ilvl w:val="0"/>
                <w:numId w:val="7"/>
              </w:numPr>
              <w:spacing w:after="160" w:line="360" w:lineRule="auto"/>
              <w:ind w:left="810" w:hanging="450"/>
              <w:jc w:val="both"/>
              <w:rPr>
                <w:rFonts w:ascii="Arial" w:hAnsi="Arial" w:cs="Arial"/>
                <w:sz w:val="24"/>
              </w:rPr>
            </w:pPr>
            <w:r w:rsidRPr="006C2DC3">
              <w:rPr>
                <w:rFonts w:ascii="Arial" w:hAnsi="Arial" w:cs="Arial"/>
                <w:sz w:val="24"/>
              </w:rPr>
              <w:t>A</w:t>
            </w:r>
            <w:r>
              <w:rPr>
                <w:rFonts w:ascii="Arial" w:hAnsi="Arial" w:cs="Arial"/>
                <w:sz w:val="24"/>
              </w:rPr>
              <w:t>n accounting system should be designed to be able to work well with an accounting cycle which is shown below: -</w:t>
            </w:r>
          </w:p>
          <w:p w:rsidR="008527FE" w:rsidRDefault="008527FE" w:rsidP="008527FE">
            <w:pPr>
              <w:pStyle w:val="ListParagraph"/>
              <w:numPr>
                <w:ilvl w:val="0"/>
                <w:numId w:val="8"/>
              </w:numPr>
              <w:spacing w:after="160" w:line="360" w:lineRule="auto"/>
              <w:ind w:left="1170"/>
              <w:jc w:val="both"/>
              <w:rPr>
                <w:rFonts w:ascii="Arial" w:hAnsi="Arial" w:cs="Arial"/>
                <w:sz w:val="24"/>
              </w:rPr>
            </w:pPr>
            <w:r>
              <w:rPr>
                <w:rFonts w:ascii="Arial" w:hAnsi="Arial" w:cs="Arial"/>
                <w:sz w:val="24"/>
              </w:rPr>
              <w:t>Occurrence of a financial transaction</w:t>
            </w:r>
          </w:p>
          <w:p w:rsidR="008527FE" w:rsidRDefault="008527FE" w:rsidP="008527FE">
            <w:pPr>
              <w:pStyle w:val="ListParagraph"/>
              <w:numPr>
                <w:ilvl w:val="0"/>
                <w:numId w:val="8"/>
              </w:numPr>
              <w:spacing w:after="160" w:line="360" w:lineRule="auto"/>
              <w:ind w:left="1170"/>
              <w:jc w:val="both"/>
              <w:rPr>
                <w:rFonts w:ascii="Arial" w:hAnsi="Arial" w:cs="Arial"/>
                <w:sz w:val="24"/>
              </w:rPr>
            </w:pPr>
            <w:r>
              <w:rPr>
                <w:rFonts w:ascii="Arial" w:hAnsi="Arial" w:cs="Arial"/>
                <w:sz w:val="24"/>
              </w:rPr>
              <w:t xml:space="preserve">Analysis of the transaction </w:t>
            </w:r>
          </w:p>
          <w:p w:rsidR="008527FE" w:rsidRDefault="008527FE" w:rsidP="008527FE">
            <w:pPr>
              <w:pStyle w:val="ListParagraph"/>
              <w:numPr>
                <w:ilvl w:val="0"/>
                <w:numId w:val="8"/>
              </w:numPr>
              <w:spacing w:after="160" w:line="360" w:lineRule="auto"/>
              <w:ind w:left="1170"/>
              <w:jc w:val="both"/>
              <w:rPr>
                <w:rFonts w:ascii="Arial" w:hAnsi="Arial" w:cs="Arial"/>
                <w:sz w:val="24"/>
              </w:rPr>
            </w:pPr>
            <w:r>
              <w:rPr>
                <w:rFonts w:ascii="Arial" w:hAnsi="Arial" w:cs="Arial"/>
                <w:sz w:val="24"/>
              </w:rPr>
              <w:t xml:space="preserve">Recording the financial transactions in journals </w:t>
            </w:r>
          </w:p>
          <w:p w:rsidR="008527FE" w:rsidRDefault="008527FE" w:rsidP="008527FE">
            <w:pPr>
              <w:pStyle w:val="ListParagraph"/>
              <w:numPr>
                <w:ilvl w:val="0"/>
                <w:numId w:val="8"/>
              </w:numPr>
              <w:spacing w:after="160" w:line="360" w:lineRule="auto"/>
              <w:ind w:left="1170"/>
              <w:jc w:val="both"/>
              <w:rPr>
                <w:rFonts w:ascii="Arial" w:hAnsi="Arial" w:cs="Arial"/>
                <w:sz w:val="24"/>
              </w:rPr>
            </w:pPr>
            <w:r>
              <w:rPr>
                <w:rFonts w:ascii="Arial" w:hAnsi="Arial" w:cs="Arial"/>
                <w:sz w:val="24"/>
              </w:rPr>
              <w:t>Analysis and posting of these transactions to the legers</w:t>
            </w:r>
          </w:p>
          <w:p w:rsidR="008527FE" w:rsidRDefault="008527FE" w:rsidP="008527FE">
            <w:pPr>
              <w:pStyle w:val="ListParagraph"/>
              <w:numPr>
                <w:ilvl w:val="0"/>
                <w:numId w:val="8"/>
              </w:numPr>
              <w:spacing w:after="160" w:line="360" w:lineRule="auto"/>
              <w:ind w:left="1170"/>
              <w:jc w:val="both"/>
              <w:rPr>
                <w:rFonts w:ascii="Arial" w:hAnsi="Arial" w:cs="Arial"/>
                <w:sz w:val="24"/>
              </w:rPr>
            </w:pPr>
            <w:r>
              <w:rPr>
                <w:rFonts w:ascii="Arial" w:hAnsi="Arial" w:cs="Arial"/>
                <w:sz w:val="24"/>
              </w:rPr>
              <w:t>Preparation of financial statements such as trial balance, statement of profit and loss and statement of financial position.</w:t>
            </w:r>
          </w:p>
          <w:p w:rsidR="008527FE" w:rsidRDefault="008527FE" w:rsidP="008527FE">
            <w:pPr>
              <w:spacing w:line="360" w:lineRule="auto"/>
              <w:ind w:left="810"/>
              <w:jc w:val="both"/>
              <w:rPr>
                <w:rFonts w:ascii="Arial" w:hAnsi="Arial" w:cs="Arial"/>
                <w:sz w:val="24"/>
              </w:rPr>
            </w:pPr>
            <w:r>
              <w:rPr>
                <w:rFonts w:ascii="Arial" w:hAnsi="Arial" w:cs="Arial"/>
                <w:sz w:val="24"/>
              </w:rPr>
              <w:t>If the accounting system is computerized the steps of the accounting cycle is just instant such that it appears as a single transaction but it automatically updates the whole system.</w:t>
            </w:r>
          </w:p>
          <w:p w:rsidR="004C446C" w:rsidRDefault="004C446C" w:rsidP="008527FE">
            <w:pPr>
              <w:spacing w:line="360" w:lineRule="auto"/>
              <w:ind w:left="810"/>
              <w:jc w:val="both"/>
              <w:rPr>
                <w:rFonts w:ascii="Arial" w:hAnsi="Arial" w:cs="Arial"/>
                <w:sz w:val="24"/>
              </w:rPr>
            </w:pPr>
          </w:p>
          <w:p w:rsidR="008527FE" w:rsidRDefault="008527FE" w:rsidP="008527FE">
            <w:pPr>
              <w:spacing w:line="360" w:lineRule="auto"/>
              <w:ind w:left="810"/>
              <w:jc w:val="both"/>
              <w:rPr>
                <w:rFonts w:ascii="Arial" w:hAnsi="Arial" w:cs="Arial"/>
                <w:sz w:val="24"/>
              </w:rPr>
            </w:pPr>
            <w:r>
              <w:rPr>
                <w:rFonts w:ascii="Arial" w:hAnsi="Arial" w:cs="Arial"/>
                <w:sz w:val="24"/>
              </w:rPr>
              <w:t>Byron’s self-devised accounting system might have lacked proper segregation of duties such that one person is able to initiate a transaction from the start until it is completed. This weakness in internal control means that the manager of the teller can easily defraud the company.</w:t>
            </w:r>
          </w:p>
          <w:p w:rsidR="004C446C" w:rsidRDefault="004C446C" w:rsidP="008527FE">
            <w:pPr>
              <w:spacing w:line="360" w:lineRule="auto"/>
              <w:ind w:left="810"/>
              <w:jc w:val="both"/>
              <w:rPr>
                <w:rFonts w:ascii="Arial" w:hAnsi="Arial" w:cs="Arial"/>
                <w:sz w:val="24"/>
              </w:rPr>
            </w:pPr>
          </w:p>
          <w:p w:rsidR="008527FE" w:rsidRDefault="008527FE" w:rsidP="008527FE">
            <w:pPr>
              <w:spacing w:line="360" w:lineRule="auto"/>
              <w:ind w:left="810"/>
              <w:jc w:val="both"/>
              <w:rPr>
                <w:rFonts w:ascii="Arial" w:hAnsi="Arial" w:cs="Arial"/>
                <w:sz w:val="24"/>
              </w:rPr>
            </w:pPr>
            <w:r>
              <w:rPr>
                <w:rFonts w:ascii="Arial" w:hAnsi="Arial" w:cs="Arial"/>
                <w:sz w:val="24"/>
              </w:rPr>
              <w:t>Assuming that the system was computerized it might have lacked proper access control areas to the accounting system. It might be possible that the tellers and clerk had full access when in actual fact a teller should have authority to receives receipts from customers without any permission to void a transaction.</w:t>
            </w:r>
          </w:p>
          <w:p w:rsidR="004C446C" w:rsidRDefault="004C446C" w:rsidP="008527FE">
            <w:pPr>
              <w:spacing w:line="360" w:lineRule="auto"/>
              <w:ind w:left="810"/>
              <w:jc w:val="both"/>
              <w:rPr>
                <w:rFonts w:ascii="Arial" w:hAnsi="Arial" w:cs="Arial"/>
                <w:sz w:val="24"/>
              </w:rPr>
            </w:pPr>
          </w:p>
          <w:p w:rsidR="008527FE" w:rsidRDefault="008527FE" w:rsidP="008527FE">
            <w:pPr>
              <w:spacing w:line="360" w:lineRule="auto"/>
              <w:ind w:left="810"/>
              <w:jc w:val="both"/>
              <w:rPr>
                <w:rFonts w:ascii="Arial" w:hAnsi="Arial" w:cs="Arial"/>
                <w:sz w:val="24"/>
              </w:rPr>
            </w:pPr>
            <w:r>
              <w:rPr>
                <w:rFonts w:ascii="Arial" w:hAnsi="Arial" w:cs="Arial"/>
                <w:sz w:val="24"/>
              </w:rPr>
              <w:t>It seems also that the accounting system was not frequently reviewed as the shortage was only sported when returns were required by the revenue authorities. Losses can be minimized by frequently reviewing the accounting system.</w:t>
            </w:r>
          </w:p>
          <w:p w:rsidR="004C446C" w:rsidRDefault="004C446C" w:rsidP="008527FE">
            <w:pPr>
              <w:spacing w:line="360" w:lineRule="auto"/>
              <w:ind w:left="810"/>
              <w:jc w:val="both"/>
              <w:rPr>
                <w:rFonts w:ascii="Arial" w:hAnsi="Arial" w:cs="Arial"/>
                <w:sz w:val="24"/>
              </w:rPr>
            </w:pPr>
          </w:p>
          <w:p w:rsidR="008527FE" w:rsidRDefault="008527FE" w:rsidP="008527FE">
            <w:pPr>
              <w:spacing w:line="360" w:lineRule="auto"/>
              <w:ind w:left="810"/>
              <w:jc w:val="both"/>
              <w:rPr>
                <w:rFonts w:ascii="Arial" w:hAnsi="Arial" w:cs="Arial"/>
                <w:sz w:val="24"/>
              </w:rPr>
            </w:pPr>
            <w:r>
              <w:rPr>
                <w:rFonts w:ascii="Arial" w:hAnsi="Arial" w:cs="Arial"/>
                <w:sz w:val="24"/>
              </w:rPr>
              <w:t>Accounting systems must be overseen by a person who is knowledgeable of accounting and has experience in the system. Byron clearly stated that he does not understand bookkeeping but nevertheless the owner allowed him to continue overseeing the accounting system.</w:t>
            </w:r>
          </w:p>
          <w:p w:rsidR="008527FE" w:rsidRDefault="008527FE" w:rsidP="008527FE">
            <w:pPr>
              <w:spacing w:line="360" w:lineRule="auto"/>
              <w:ind w:left="810"/>
              <w:jc w:val="both"/>
              <w:rPr>
                <w:rFonts w:ascii="Arial" w:hAnsi="Arial" w:cs="Arial"/>
                <w:sz w:val="24"/>
              </w:rPr>
            </w:pPr>
            <w:r>
              <w:rPr>
                <w:rFonts w:ascii="Arial" w:hAnsi="Arial" w:cs="Arial"/>
                <w:sz w:val="24"/>
              </w:rPr>
              <w:t xml:space="preserve">Data can be lost due to many catastrophes such as power outages, attacks by viruses and also the threat of hacking if online transactions were part of </w:t>
            </w:r>
            <w:r>
              <w:rPr>
                <w:rFonts w:ascii="Arial" w:hAnsi="Arial" w:cs="Arial"/>
                <w:sz w:val="24"/>
              </w:rPr>
              <w:lastRenderedPageBreak/>
              <w:t>Byron’s trades. The is need to have control measures in advance to counter all possible data losses which might occur. This might as well have been lacking in the case study.</w:t>
            </w:r>
          </w:p>
          <w:p w:rsidR="008527FE" w:rsidRDefault="008527FE" w:rsidP="008527FE">
            <w:pPr>
              <w:spacing w:line="360" w:lineRule="auto"/>
              <w:ind w:left="810"/>
              <w:jc w:val="both"/>
              <w:rPr>
                <w:rFonts w:ascii="Arial" w:hAnsi="Arial" w:cs="Arial"/>
                <w:sz w:val="24"/>
              </w:rPr>
            </w:pPr>
          </w:p>
          <w:p w:rsidR="008527FE" w:rsidRDefault="008527FE" w:rsidP="008527FE">
            <w:pPr>
              <w:pStyle w:val="ListParagraph"/>
              <w:numPr>
                <w:ilvl w:val="0"/>
                <w:numId w:val="7"/>
              </w:numPr>
              <w:tabs>
                <w:tab w:val="left" w:pos="1350"/>
              </w:tabs>
              <w:spacing w:after="160" w:line="360" w:lineRule="auto"/>
              <w:ind w:left="900" w:hanging="540"/>
              <w:jc w:val="both"/>
              <w:rPr>
                <w:rFonts w:ascii="Arial" w:hAnsi="Arial" w:cs="Arial"/>
                <w:sz w:val="24"/>
              </w:rPr>
            </w:pPr>
            <w:r>
              <w:rPr>
                <w:rFonts w:ascii="Arial" w:hAnsi="Arial" w:cs="Arial"/>
                <w:sz w:val="24"/>
              </w:rPr>
              <w:t>The discrepancy that occurred on the banking, might be caused by errors made by the bank. On very rare occasions banks can make errors and these can be detected by preparing bank reconciliation statements. Most bank statements issued by banks includes a statement that an errors that might have occurred may be rectified within 14 days so banks should not be presumed to accurate all the time.</w:t>
            </w:r>
          </w:p>
          <w:p w:rsidR="008527FE" w:rsidRDefault="008527FE" w:rsidP="008527FE">
            <w:pPr>
              <w:tabs>
                <w:tab w:val="left" w:pos="1350"/>
              </w:tabs>
              <w:spacing w:line="360" w:lineRule="auto"/>
              <w:ind w:left="900"/>
              <w:jc w:val="both"/>
              <w:rPr>
                <w:rFonts w:ascii="Arial" w:hAnsi="Arial" w:cs="Arial"/>
                <w:sz w:val="24"/>
              </w:rPr>
            </w:pPr>
            <w:r>
              <w:rPr>
                <w:rFonts w:ascii="Arial" w:hAnsi="Arial" w:cs="Arial"/>
                <w:sz w:val="24"/>
              </w:rPr>
              <w:t>Another possible loop hole might be on the tellers who directly receive cash from customers. They just take the receipts without making any record in the accounting system and give the customer the goods purchased. This will only be detected when a stock take is carried out and such shortage will be presumed to cash stolen from goods actually sold. This type of fraud is sometimes known as skimming.</w:t>
            </w:r>
          </w:p>
          <w:p w:rsidR="004C446C" w:rsidRDefault="004C446C" w:rsidP="008527FE">
            <w:pPr>
              <w:tabs>
                <w:tab w:val="left" w:pos="1350"/>
              </w:tabs>
              <w:spacing w:line="360" w:lineRule="auto"/>
              <w:ind w:left="900"/>
              <w:jc w:val="both"/>
              <w:rPr>
                <w:rFonts w:ascii="Arial" w:hAnsi="Arial" w:cs="Arial"/>
                <w:sz w:val="24"/>
              </w:rPr>
            </w:pPr>
          </w:p>
          <w:p w:rsidR="008527FE" w:rsidRDefault="008527FE" w:rsidP="008527FE">
            <w:pPr>
              <w:tabs>
                <w:tab w:val="left" w:pos="1350"/>
              </w:tabs>
              <w:spacing w:line="360" w:lineRule="auto"/>
              <w:ind w:left="900"/>
              <w:jc w:val="both"/>
              <w:rPr>
                <w:rFonts w:ascii="Arial" w:hAnsi="Arial" w:cs="Arial"/>
                <w:sz w:val="24"/>
              </w:rPr>
            </w:pPr>
            <w:r>
              <w:rPr>
                <w:rFonts w:ascii="Arial" w:hAnsi="Arial" w:cs="Arial"/>
                <w:sz w:val="24"/>
              </w:rPr>
              <w:t>If the business trades online or makes its payments online hackers may steal from the company if the controls are weak. Hackers are experienced in the use of computer technology to steal. It is ideal for companies to employ Certified Ethical Hackers to assist them in designing control measures.</w:t>
            </w:r>
          </w:p>
          <w:p w:rsidR="004C446C" w:rsidRDefault="004C446C" w:rsidP="008527FE">
            <w:pPr>
              <w:tabs>
                <w:tab w:val="left" w:pos="1350"/>
              </w:tabs>
              <w:spacing w:line="360" w:lineRule="auto"/>
              <w:ind w:left="900"/>
              <w:jc w:val="both"/>
              <w:rPr>
                <w:rFonts w:ascii="Arial" w:hAnsi="Arial" w:cs="Arial"/>
                <w:sz w:val="24"/>
              </w:rPr>
            </w:pPr>
          </w:p>
          <w:p w:rsidR="008527FE" w:rsidRPr="00756960" w:rsidRDefault="008527FE" w:rsidP="004C446C">
            <w:pPr>
              <w:tabs>
                <w:tab w:val="left" w:pos="1350"/>
              </w:tabs>
              <w:spacing w:line="360" w:lineRule="auto"/>
              <w:ind w:left="900"/>
              <w:jc w:val="both"/>
              <w:rPr>
                <w:rFonts w:ascii="Arial" w:hAnsi="Arial" w:cs="Arial"/>
                <w:sz w:val="24"/>
              </w:rPr>
            </w:pPr>
            <w:r>
              <w:rPr>
                <w:rFonts w:ascii="Arial" w:hAnsi="Arial" w:cs="Arial"/>
                <w:sz w:val="24"/>
              </w:rPr>
              <w:t xml:space="preserve">Lastly if there are employees who are tasked with banking receipts to the bank they may also under bank the sales receipts. This schemes will be true if the banking records are not verified when banking is done. Weak internal controls prompt employees to steal as there is no perception of detection. </w:t>
            </w:r>
            <w:r>
              <w:rPr>
                <w:rFonts w:ascii="Arial" w:hAnsi="Arial" w:cs="Arial"/>
                <w:sz w:val="24"/>
              </w:rPr>
              <w:tab/>
            </w:r>
          </w:p>
          <w:p w:rsidR="008527FE" w:rsidRDefault="008527FE" w:rsidP="008527FE">
            <w:pPr>
              <w:pStyle w:val="Heading1"/>
              <w:spacing w:line="360" w:lineRule="auto"/>
              <w:outlineLvl w:val="0"/>
              <w:rPr>
                <w:rFonts w:ascii="Arial" w:hAnsi="Arial" w:cs="Arial"/>
                <w:sz w:val="24"/>
              </w:rPr>
            </w:pPr>
            <w:r>
              <w:rPr>
                <w:rFonts w:ascii="Arial" w:hAnsi="Arial" w:cs="Arial"/>
                <w:sz w:val="24"/>
              </w:rPr>
              <w:t xml:space="preserve"> </w:t>
            </w:r>
          </w:p>
          <w:sdt>
            <w:sdtPr>
              <w:id w:val="-1011449484"/>
              <w:docPartObj>
                <w:docPartGallery w:val="Bibliographies"/>
                <w:docPartUnique/>
              </w:docPartObj>
            </w:sdtPr>
            <w:sdtContent>
              <w:p w:rsidR="008527FE" w:rsidRPr="009E3F14" w:rsidRDefault="008527FE" w:rsidP="008527FE">
                <w:pPr>
                  <w:spacing w:line="360" w:lineRule="auto"/>
                  <w:jc w:val="both"/>
                  <w:rPr>
                    <w:rFonts w:ascii="Arial" w:hAnsi="Arial" w:cs="Arial"/>
                    <w:b/>
                    <w:sz w:val="24"/>
                    <w:szCs w:val="24"/>
                  </w:rPr>
                </w:pPr>
                <w:r w:rsidRPr="009E3F14">
                  <w:rPr>
                    <w:rFonts w:ascii="Arial" w:hAnsi="Arial" w:cs="Arial"/>
                    <w:b/>
                    <w:sz w:val="24"/>
                    <w:szCs w:val="24"/>
                  </w:rPr>
                  <w:t>References</w:t>
                </w:r>
              </w:p>
              <w:sdt>
                <w:sdtPr>
                  <w:rPr>
                    <w:rFonts w:ascii="Arial" w:hAnsi="Arial" w:cs="Arial"/>
                    <w:sz w:val="24"/>
                    <w:szCs w:val="24"/>
                  </w:rPr>
                  <w:id w:val="-573587230"/>
                  <w:bibliography/>
                </w:sdtPr>
                <w:sdtContent>
                  <w:p w:rsidR="008527FE" w:rsidRPr="009E3F14" w:rsidRDefault="008527FE" w:rsidP="008527FE">
                    <w:pPr>
                      <w:pStyle w:val="Bibliography"/>
                      <w:spacing w:line="360" w:lineRule="auto"/>
                      <w:rPr>
                        <w:rFonts w:ascii="Arial" w:hAnsi="Arial" w:cs="Arial"/>
                        <w:noProof/>
                        <w:sz w:val="24"/>
                        <w:szCs w:val="24"/>
                      </w:rPr>
                    </w:pPr>
                    <w:r w:rsidRPr="009E3F14">
                      <w:rPr>
                        <w:rFonts w:ascii="Arial" w:hAnsi="Arial" w:cs="Arial"/>
                        <w:sz w:val="24"/>
                        <w:szCs w:val="24"/>
                      </w:rPr>
                      <w:fldChar w:fldCharType="begin"/>
                    </w:r>
                    <w:r w:rsidRPr="009E3F14">
                      <w:rPr>
                        <w:rFonts w:ascii="Arial" w:hAnsi="Arial" w:cs="Arial"/>
                        <w:sz w:val="24"/>
                        <w:szCs w:val="24"/>
                      </w:rPr>
                      <w:instrText xml:space="preserve"> BIBLIOGRAPHY </w:instrText>
                    </w:r>
                    <w:r w:rsidRPr="009E3F14">
                      <w:rPr>
                        <w:rFonts w:ascii="Arial" w:hAnsi="Arial" w:cs="Arial"/>
                        <w:sz w:val="24"/>
                        <w:szCs w:val="24"/>
                      </w:rPr>
                      <w:fldChar w:fldCharType="separate"/>
                    </w:r>
                    <w:r w:rsidRPr="009E3F14">
                      <w:rPr>
                        <w:rFonts w:ascii="Arial" w:hAnsi="Arial" w:cs="Arial"/>
                        <w:noProof/>
                        <w:sz w:val="24"/>
                        <w:szCs w:val="24"/>
                      </w:rPr>
                      <w:t xml:space="preserve">Silverstone, H. &amp; Sheetz, M., 2007. </w:t>
                    </w:r>
                    <w:r w:rsidRPr="009E3F14">
                      <w:rPr>
                        <w:rFonts w:ascii="Arial" w:hAnsi="Arial" w:cs="Arial"/>
                        <w:i/>
                        <w:iCs/>
                        <w:noProof/>
                        <w:sz w:val="24"/>
                        <w:szCs w:val="24"/>
                      </w:rPr>
                      <w:t xml:space="preserve">Forensic Accounting and Fraud Investigation for Non-Experts. </w:t>
                    </w:r>
                    <w:r w:rsidRPr="009E3F14">
                      <w:rPr>
                        <w:rFonts w:ascii="Arial" w:hAnsi="Arial" w:cs="Arial"/>
                        <w:noProof/>
                        <w:sz w:val="24"/>
                        <w:szCs w:val="24"/>
                      </w:rPr>
                      <w:t>2nd ed. New Jersey : John Wiley and Sons.</w:t>
                    </w:r>
                  </w:p>
                  <w:p w:rsidR="008527FE" w:rsidRDefault="008527FE" w:rsidP="008527FE">
                    <w:pPr>
                      <w:spacing w:line="360" w:lineRule="auto"/>
                    </w:pPr>
                    <w:r w:rsidRPr="009E3F14">
                      <w:rPr>
                        <w:rFonts w:ascii="Arial" w:hAnsi="Arial" w:cs="Arial"/>
                        <w:b/>
                        <w:bCs/>
                        <w:noProof/>
                        <w:sz w:val="24"/>
                        <w:szCs w:val="24"/>
                      </w:rPr>
                      <w:fldChar w:fldCharType="end"/>
                    </w:r>
                  </w:p>
                </w:sdtContent>
              </w:sdt>
            </w:sdtContent>
          </w:sdt>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27"/>
        <w:gridCol w:w="1245"/>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D101E" w:rsidRPr="000C2035" w:rsidRDefault="00D96108" w:rsidP="00A851DA">
            <w:pPr>
              <w:rPr>
                <w:rFonts w:ascii="Arial" w:hAnsi="Arial" w:cs="Arial"/>
                <w:color w:val="000000"/>
              </w:rPr>
            </w:pPr>
            <w:r w:rsidRPr="000C2035">
              <w:rPr>
                <w:rFonts w:ascii="Arial" w:hAnsi="Arial" w:cs="Arial"/>
                <w:color w:val="000000"/>
                <w:sz w:val="24"/>
              </w:rPr>
              <w:t>Aleck Mandivengerei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27FE" w:rsidP="00A851DA">
            <w:pPr>
              <w:rPr>
                <w:rFonts w:cs="Bliss-Regular"/>
                <w:color w:val="000000"/>
              </w:rPr>
            </w:pPr>
            <w:r>
              <w:rPr>
                <w:rFonts w:cs="Bliss-Regular"/>
                <w:color w:val="000000"/>
              </w:rPr>
              <w:t>15/03/16</w:t>
            </w:r>
          </w:p>
        </w:tc>
      </w:tr>
    </w:tbl>
    <w:p w:rsidR="00A851DA" w:rsidRPr="00B0415E" w:rsidRDefault="00A851DA" w:rsidP="00A851DA">
      <w:pPr>
        <w:rPr>
          <w:rFonts w:cs="Bliss-Regular"/>
          <w:color w:val="000000"/>
          <w:lang w:val="en-US"/>
        </w:rPr>
      </w:pPr>
    </w:p>
    <w:p w:rsidR="00A851DA" w:rsidRPr="00B0415E" w:rsidRDefault="00503D7E" w:rsidP="00BD101E">
      <w:pPr>
        <w:shd w:val="clear" w:color="auto" w:fill="D9D9D9" w:themeFill="background1" w:themeFillShade="D9"/>
        <w:ind w:left="-9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F2017">
      <w:pPr>
        <w:rPr>
          <w:rFonts w:cs="Times New Roman"/>
          <w:sz w:val="24"/>
          <w:szCs w:val="32"/>
        </w:rPr>
      </w:pPr>
    </w:p>
    <w:sectPr w:rsidR="00A851DA" w:rsidSect="00BF2017">
      <w:pgSz w:w="11906" w:h="16838"/>
      <w:pgMar w:top="90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C42" w:rsidRDefault="00544C42" w:rsidP="00CB4D0A">
      <w:pPr>
        <w:spacing w:after="0" w:line="240" w:lineRule="auto"/>
      </w:pPr>
      <w:r>
        <w:separator/>
      </w:r>
    </w:p>
  </w:endnote>
  <w:endnote w:type="continuationSeparator" w:id="0">
    <w:p w:rsidR="00544C42" w:rsidRDefault="00544C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C42" w:rsidRDefault="00544C42" w:rsidP="00CB4D0A">
      <w:pPr>
        <w:spacing w:after="0" w:line="240" w:lineRule="auto"/>
      </w:pPr>
      <w:r>
        <w:separator/>
      </w:r>
    </w:p>
  </w:footnote>
  <w:footnote w:type="continuationSeparator" w:id="0">
    <w:p w:rsidR="00544C42" w:rsidRDefault="00544C4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35794E"/>
    <w:multiLevelType w:val="hybridMultilevel"/>
    <w:tmpl w:val="DFA09EE0"/>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 w15:restartNumberingAfterBreak="0">
    <w:nsid w:val="3E4B7DCD"/>
    <w:multiLevelType w:val="hybridMultilevel"/>
    <w:tmpl w:val="E62CD92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EBB4EDC"/>
    <w:multiLevelType w:val="hybridMultilevel"/>
    <w:tmpl w:val="48B2693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BB06B4A"/>
    <w:multiLevelType w:val="hybridMultilevel"/>
    <w:tmpl w:val="5FBE5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3D75E0"/>
    <w:multiLevelType w:val="hybridMultilevel"/>
    <w:tmpl w:val="E27C4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BB4592"/>
    <w:multiLevelType w:val="hybridMultilevel"/>
    <w:tmpl w:val="7BEA6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D275AC9"/>
    <w:multiLevelType w:val="hybridMultilevel"/>
    <w:tmpl w:val="8160D62A"/>
    <w:lvl w:ilvl="0" w:tplc="73CA90C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6"/>
  </w:num>
  <w:num w:numId="4">
    <w:abstractNumId w:val="1"/>
  </w:num>
  <w:num w:numId="5">
    <w:abstractNumId w:val="2"/>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2035"/>
    <w:rsid w:val="001175EE"/>
    <w:rsid w:val="00157CF6"/>
    <w:rsid w:val="00182416"/>
    <w:rsid w:val="00187EB4"/>
    <w:rsid w:val="001F0481"/>
    <w:rsid w:val="00200C92"/>
    <w:rsid w:val="0020451E"/>
    <w:rsid w:val="00206B9D"/>
    <w:rsid w:val="0023259C"/>
    <w:rsid w:val="00264580"/>
    <w:rsid w:val="002B0BD7"/>
    <w:rsid w:val="002B573D"/>
    <w:rsid w:val="002C5CB2"/>
    <w:rsid w:val="002F779F"/>
    <w:rsid w:val="003121C2"/>
    <w:rsid w:val="00371885"/>
    <w:rsid w:val="003E2B87"/>
    <w:rsid w:val="00402786"/>
    <w:rsid w:val="00405895"/>
    <w:rsid w:val="004058DF"/>
    <w:rsid w:val="00443E6F"/>
    <w:rsid w:val="00486F1A"/>
    <w:rsid w:val="00490CB9"/>
    <w:rsid w:val="004A2CE2"/>
    <w:rsid w:val="004B114C"/>
    <w:rsid w:val="004C446C"/>
    <w:rsid w:val="004E3CDA"/>
    <w:rsid w:val="004F4B4D"/>
    <w:rsid w:val="0050216D"/>
    <w:rsid w:val="00503D7E"/>
    <w:rsid w:val="0050778F"/>
    <w:rsid w:val="00527C11"/>
    <w:rsid w:val="00535F31"/>
    <w:rsid w:val="00544C42"/>
    <w:rsid w:val="00574D64"/>
    <w:rsid w:val="00591365"/>
    <w:rsid w:val="005B31E4"/>
    <w:rsid w:val="006034F6"/>
    <w:rsid w:val="00607874"/>
    <w:rsid w:val="00607E77"/>
    <w:rsid w:val="00617BB3"/>
    <w:rsid w:val="00645CDD"/>
    <w:rsid w:val="006823A7"/>
    <w:rsid w:val="00687EE8"/>
    <w:rsid w:val="0070347F"/>
    <w:rsid w:val="0070678E"/>
    <w:rsid w:val="00831C11"/>
    <w:rsid w:val="008527FE"/>
    <w:rsid w:val="008671EF"/>
    <w:rsid w:val="008A60B4"/>
    <w:rsid w:val="008B3C31"/>
    <w:rsid w:val="008B64FE"/>
    <w:rsid w:val="008C4B3A"/>
    <w:rsid w:val="008D55A2"/>
    <w:rsid w:val="00933838"/>
    <w:rsid w:val="00935BF7"/>
    <w:rsid w:val="0095442C"/>
    <w:rsid w:val="00983942"/>
    <w:rsid w:val="009B54B2"/>
    <w:rsid w:val="009C37E0"/>
    <w:rsid w:val="009E41F4"/>
    <w:rsid w:val="00A14B66"/>
    <w:rsid w:val="00A65CF7"/>
    <w:rsid w:val="00A81AB4"/>
    <w:rsid w:val="00A851DA"/>
    <w:rsid w:val="00AC7D5B"/>
    <w:rsid w:val="00AE1481"/>
    <w:rsid w:val="00B0415E"/>
    <w:rsid w:val="00B04678"/>
    <w:rsid w:val="00B11043"/>
    <w:rsid w:val="00BC46DF"/>
    <w:rsid w:val="00BD101E"/>
    <w:rsid w:val="00BF2017"/>
    <w:rsid w:val="00C03577"/>
    <w:rsid w:val="00C53029"/>
    <w:rsid w:val="00C65FEA"/>
    <w:rsid w:val="00CA0AC2"/>
    <w:rsid w:val="00CB4D0A"/>
    <w:rsid w:val="00CC2FB3"/>
    <w:rsid w:val="00CC575A"/>
    <w:rsid w:val="00CF123B"/>
    <w:rsid w:val="00D039AC"/>
    <w:rsid w:val="00D427DE"/>
    <w:rsid w:val="00D5587D"/>
    <w:rsid w:val="00D707CC"/>
    <w:rsid w:val="00D73183"/>
    <w:rsid w:val="00D821FE"/>
    <w:rsid w:val="00D96108"/>
    <w:rsid w:val="00DB0793"/>
    <w:rsid w:val="00E00821"/>
    <w:rsid w:val="00E04DB4"/>
    <w:rsid w:val="00E1331A"/>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24CF6"/>
  <w15:docId w15:val="{44AF02C4-72DF-4BCD-B72A-3279294A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BF201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01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BF2017"/>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6274F-8A9D-4934-AB3E-105FF13A2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8</Pages>
  <Words>1989</Words>
  <Characters>11338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12</cp:revision>
  <dcterms:created xsi:type="dcterms:W3CDTF">2016-03-03T04:47:00Z</dcterms:created>
  <dcterms:modified xsi:type="dcterms:W3CDTF">2016-03-15T21:02:00Z</dcterms:modified>
</cp:coreProperties>
</file>