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681572"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08706D" w:rsidRDefault="0008706D"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08706D" w:rsidRDefault="0008706D"/>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101A831A" w:rsidR="00A851DA" w:rsidRPr="00B0415E" w:rsidRDefault="00AD1C4F">
            <w:r>
              <w:t>Six</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6651BA27" w:rsidR="00405895" w:rsidRPr="00B0415E" w:rsidRDefault="00935AC5" w:rsidP="00A851DA">
            <w:pPr>
              <w:rPr>
                <w:rFonts w:cs="Bliss-Regular"/>
                <w:color w:val="000000"/>
              </w:rPr>
            </w:pPr>
            <w:r w:rsidRPr="00056130">
              <w:rPr>
                <w:rFonts w:cs="Bliss-Regular"/>
                <w:color w:val="000000"/>
              </w:rPr>
              <w:t>1</w:t>
            </w:r>
            <w:r w:rsidR="00056130">
              <w:rPr>
                <w:rFonts w:cs="Bliss-Regular"/>
                <w:color w:val="000000"/>
              </w:rPr>
              <w:t>9</w:t>
            </w:r>
            <w:r w:rsidRPr="00056130">
              <w:rPr>
                <w:rFonts w:cs="Bliss-Regular"/>
                <w:color w:val="000000"/>
                <w:vertAlign w:val="superscript"/>
              </w:rPr>
              <w:t>th</w:t>
            </w:r>
            <w:r>
              <w:rPr>
                <w:rFonts w:cs="Bliss-Regular"/>
                <w:color w:val="000000"/>
              </w:rPr>
              <w:t xml:space="preserve"> </w:t>
            </w:r>
            <w:r w:rsidR="008C15B7">
              <w:rPr>
                <w:rFonts w:cs="Bliss-Regular"/>
                <w:color w:val="000000"/>
              </w:rPr>
              <w:t>November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5AEAA6EE" w:rsidR="00243731" w:rsidRDefault="007F50FB" w:rsidP="00243731">
      <w:pPr>
        <w:spacing w:line="360" w:lineRule="auto"/>
        <w:jc w:val="both"/>
        <w:rPr>
          <w:rFonts w:ascii="Arial" w:hAnsi="Arial" w:cs="Arial"/>
          <w:b/>
          <w:sz w:val="24"/>
          <w:szCs w:val="24"/>
        </w:rPr>
      </w:pPr>
      <w:r>
        <w:rPr>
          <w:rFonts w:ascii="Arial" w:hAnsi="Arial" w:cs="Arial"/>
          <w:b/>
          <w:sz w:val="24"/>
          <w:szCs w:val="24"/>
        </w:rPr>
        <w:lastRenderedPageBreak/>
        <w:t xml:space="preserve">Question 1 – </w:t>
      </w:r>
      <w:r w:rsidR="00AD1C4F">
        <w:rPr>
          <w:rFonts w:ascii="Arial" w:hAnsi="Arial" w:cs="Arial"/>
          <w:b/>
          <w:sz w:val="24"/>
          <w:szCs w:val="24"/>
        </w:rPr>
        <w:t xml:space="preserve">What are the non-financial sources of </w:t>
      </w:r>
      <w:proofErr w:type="gramStart"/>
      <w:r w:rsidR="00AD1C4F">
        <w:rPr>
          <w:rFonts w:ascii="Arial" w:hAnsi="Arial" w:cs="Arial"/>
          <w:b/>
          <w:sz w:val="24"/>
          <w:szCs w:val="24"/>
        </w:rPr>
        <w:t>evidence</w:t>
      </w:r>
      <w:r w:rsidR="007B4486">
        <w:rPr>
          <w:rFonts w:ascii="Arial" w:hAnsi="Arial" w:cs="Arial"/>
          <w:b/>
          <w:sz w:val="24"/>
          <w:szCs w:val="24"/>
        </w:rPr>
        <w:t xml:space="preserve"> ?</w:t>
      </w:r>
      <w:proofErr w:type="gramEnd"/>
      <w:r w:rsidR="00951558">
        <w:rPr>
          <w:rFonts w:ascii="Arial" w:hAnsi="Arial" w:cs="Arial"/>
          <w:b/>
          <w:sz w:val="24"/>
          <w:szCs w:val="24"/>
        </w:rPr>
        <w:t xml:space="preserve"> </w:t>
      </w:r>
    </w:p>
    <w:p w14:paraId="7712EEFF" w14:textId="18D014A8" w:rsidR="00AD1C4F" w:rsidRDefault="00F41DC6" w:rsidP="00243731">
      <w:pPr>
        <w:spacing w:line="360" w:lineRule="auto"/>
        <w:jc w:val="both"/>
        <w:rPr>
          <w:rFonts w:ascii="Arial" w:hAnsi="Arial" w:cs="Arial"/>
          <w:sz w:val="24"/>
          <w:szCs w:val="24"/>
        </w:rPr>
      </w:pPr>
      <w:r>
        <w:rPr>
          <w:rFonts w:ascii="Arial" w:hAnsi="Arial" w:cs="Arial"/>
          <w:sz w:val="24"/>
          <w:szCs w:val="24"/>
        </w:rPr>
        <w:t>Financial crime evidence gathering tends to focus on financial sources e.g. ledgers, invoices or bank statements. However, there is a selection of non-financial sources that can provide valuable evidence, or that can help direct the investigator towards further evidence. These include -:</w:t>
      </w:r>
    </w:p>
    <w:p w14:paraId="6110F04E" w14:textId="070120E6" w:rsidR="00F41DC6" w:rsidRPr="00F41DC6" w:rsidRDefault="00F41DC6" w:rsidP="00F41DC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 xml:space="preserve">Analytic procedures using non-financial measures – </w:t>
      </w:r>
      <w:r>
        <w:rPr>
          <w:rFonts w:ascii="Arial" w:hAnsi="Arial" w:cs="Arial"/>
          <w:sz w:val="24"/>
          <w:szCs w:val="24"/>
        </w:rPr>
        <w:t>In an article published in the Journal of Accounting Research</w:t>
      </w:r>
      <w:r w:rsidR="007C0DEC">
        <w:rPr>
          <w:rFonts w:ascii="Arial" w:hAnsi="Arial" w:cs="Arial"/>
          <w:sz w:val="24"/>
          <w:szCs w:val="24"/>
        </w:rPr>
        <w:t>,</w:t>
      </w:r>
      <w:r>
        <w:rPr>
          <w:rFonts w:ascii="Arial" w:hAnsi="Arial" w:cs="Arial"/>
          <w:sz w:val="24"/>
          <w:szCs w:val="24"/>
        </w:rPr>
        <w:t xml:space="preserve"> in 2009</w:t>
      </w:r>
      <w:r w:rsidR="007C0DEC">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Brazel</w:t>
      </w:r>
      <w:proofErr w:type="spellEnd"/>
      <w:r>
        <w:rPr>
          <w:rFonts w:ascii="Arial" w:hAnsi="Arial" w:cs="Arial"/>
          <w:sz w:val="24"/>
          <w:szCs w:val="24"/>
        </w:rPr>
        <w:t>, Jones and Zimmerman contented that the difference between financial and non-financial performance is significantly greater for firms that committed fraud than for their non-fraudulent competitors. The non-financia</w:t>
      </w:r>
      <w:r w:rsidR="00B25786">
        <w:rPr>
          <w:rFonts w:ascii="Arial" w:hAnsi="Arial" w:cs="Arial"/>
          <w:sz w:val="24"/>
          <w:szCs w:val="24"/>
        </w:rPr>
        <w:t>l measures referred to included</w:t>
      </w:r>
      <w:r>
        <w:rPr>
          <w:rFonts w:ascii="Arial" w:hAnsi="Arial" w:cs="Arial"/>
          <w:sz w:val="24"/>
          <w:szCs w:val="24"/>
        </w:rPr>
        <w:t xml:space="preserve"> such things as number of retail outlets, warehouse space or headcount i.e. publicly available information which could be found from Intern</w:t>
      </w:r>
      <w:r w:rsidR="007C0DEC">
        <w:rPr>
          <w:rFonts w:ascii="Arial" w:hAnsi="Arial" w:cs="Arial"/>
          <w:sz w:val="24"/>
          <w:szCs w:val="24"/>
        </w:rPr>
        <w:t>et or Annual Report searches. In</w:t>
      </w:r>
      <w:r>
        <w:rPr>
          <w:rFonts w:ascii="Arial" w:hAnsi="Arial" w:cs="Arial"/>
          <w:sz w:val="24"/>
          <w:szCs w:val="24"/>
        </w:rPr>
        <w:t xml:space="preserve"> the same article they quoted that the Public Company Accounting Oversight Board concluded that analytic procedures using only financial data are likely to be ineffective for detecting fraud because management can make fictitious entries to financial data in order to create an expected pattern.</w:t>
      </w:r>
    </w:p>
    <w:p w14:paraId="5A98D1BE" w14:textId="66598EC6" w:rsidR="00F41DC6" w:rsidRPr="00F41DC6" w:rsidRDefault="00F41DC6" w:rsidP="00F41DC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 xml:space="preserve">Non-documentary physical evidence – </w:t>
      </w:r>
      <w:r>
        <w:rPr>
          <w:rFonts w:ascii="Arial" w:hAnsi="Arial" w:cs="Arial"/>
          <w:sz w:val="24"/>
          <w:szCs w:val="24"/>
        </w:rPr>
        <w:t>This may include things such as the suspects fingerprints on documents pro</w:t>
      </w:r>
      <w:r w:rsidR="007C0DEC">
        <w:rPr>
          <w:rFonts w:ascii="Arial" w:hAnsi="Arial" w:cs="Arial"/>
          <w:sz w:val="24"/>
          <w:szCs w:val="24"/>
        </w:rPr>
        <w:t>ving that they had handled the</w:t>
      </w:r>
      <w:r>
        <w:rPr>
          <w:rFonts w:ascii="Arial" w:hAnsi="Arial" w:cs="Arial"/>
          <w:sz w:val="24"/>
          <w:szCs w:val="24"/>
        </w:rPr>
        <w:t xml:space="preserve"> documents</w:t>
      </w:r>
      <w:r w:rsidR="007C0DEC">
        <w:rPr>
          <w:rFonts w:ascii="Arial" w:hAnsi="Arial" w:cs="Arial"/>
          <w:sz w:val="24"/>
          <w:szCs w:val="24"/>
        </w:rPr>
        <w:t>;</w:t>
      </w:r>
      <w:r>
        <w:rPr>
          <w:rFonts w:ascii="Arial" w:hAnsi="Arial" w:cs="Arial"/>
          <w:sz w:val="24"/>
          <w:szCs w:val="24"/>
        </w:rPr>
        <w:t xml:space="preserve"> or partially burnt or shredded relevant papers in the possession of the suspect</w:t>
      </w:r>
      <w:r w:rsidR="007C0DEC">
        <w:rPr>
          <w:rFonts w:ascii="Arial" w:hAnsi="Arial" w:cs="Arial"/>
          <w:sz w:val="24"/>
          <w:szCs w:val="24"/>
        </w:rPr>
        <w:t>;</w:t>
      </w:r>
      <w:r>
        <w:rPr>
          <w:rFonts w:ascii="Arial" w:hAnsi="Arial" w:cs="Arial"/>
          <w:sz w:val="24"/>
          <w:szCs w:val="24"/>
        </w:rPr>
        <w:t xml:space="preserve"> or phone numbers in an address book showing that two linked, but un-related, businesses shared the same phone number.</w:t>
      </w:r>
    </w:p>
    <w:p w14:paraId="05F2FE1B" w14:textId="77777777" w:rsidR="00F41DC6" w:rsidRPr="00F41DC6" w:rsidRDefault="00F41DC6" w:rsidP="00F41DC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Handwriting analysis –</w:t>
      </w:r>
      <w:r>
        <w:rPr>
          <w:rFonts w:ascii="Arial" w:hAnsi="Arial" w:cs="Arial"/>
          <w:sz w:val="24"/>
          <w:szCs w:val="24"/>
        </w:rPr>
        <w:t xml:space="preserve"> With the increasing use of technology, and digital signatures, this is often considered as less relevant but it can be useful to prove such things as a signature on an important document being a forgery.</w:t>
      </w:r>
    </w:p>
    <w:p w14:paraId="6C2A6228" w14:textId="23729887" w:rsidR="007C0DEC" w:rsidRDefault="007C0DEC" w:rsidP="00F41DC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 xml:space="preserve">Publicly available reports – </w:t>
      </w:r>
      <w:r>
        <w:rPr>
          <w:rFonts w:ascii="Arial" w:hAnsi="Arial" w:cs="Arial"/>
          <w:sz w:val="24"/>
          <w:szCs w:val="24"/>
        </w:rPr>
        <w:t>e.g. press, media or industry publications may include articles on suspicions or unusual activity; or background checks may prove that an organization receiving payments is actually a front, or shell company, which is incapable of providing the services being paid for.</w:t>
      </w:r>
    </w:p>
    <w:p w14:paraId="0E152339" w14:textId="77777777" w:rsidR="007C0DEC" w:rsidRPr="007C0DEC" w:rsidRDefault="00F41DC6" w:rsidP="00F41DC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Interviews –</w:t>
      </w:r>
      <w:r>
        <w:rPr>
          <w:rFonts w:ascii="Arial" w:hAnsi="Arial" w:cs="Arial"/>
          <w:sz w:val="24"/>
          <w:szCs w:val="24"/>
        </w:rPr>
        <w:t xml:space="preserve"> An interview is a conversation with a purpose, which in a financial crime investigation is either to gather pertinent information or to obtain an admission of guilt. While obtaining an admission of guilt can be highly effective in court it is often not easy to obtain, especially as interviewing is as much an art as it is a science. The successful interviewer needs to plan well but be flexible in the </w:t>
      </w:r>
      <w:r>
        <w:rPr>
          <w:rFonts w:ascii="Arial" w:hAnsi="Arial" w:cs="Arial"/>
          <w:sz w:val="24"/>
          <w:szCs w:val="24"/>
        </w:rPr>
        <w:lastRenderedPageBreak/>
        <w:t xml:space="preserve">approach and tactics adopted during the interview. They also need to be observant as to the reactions and responses of the interviewee and be prepared to listen more than they talk. </w:t>
      </w:r>
    </w:p>
    <w:p w14:paraId="102C6792" w14:textId="77777777" w:rsidR="007C0DEC" w:rsidRDefault="00F41DC6" w:rsidP="007C0DEC">
      <w:pPr>
        <w:pStyle w:val="ListParagraph"/>
        <w:spacing w:line="360" w:lineRule="auto"/>
        <w:ind w:left="426"/>
        <w:jc w:val="both"/>
        <w:rPr>
          <w:rFonts w:ascii="Arial" w:hAnsi="Arial" w:cs="Arial"/>
          <w:sz w:val="24"/>
          <w:szCs w:val="24"/>
        </w:rPr>
      </w:pPr>
      <w:r>
        <w:rPr>
          <w:rFonts w:ascii="Arial" w:hAnsi="Arial" w:cs="Arial"/>
          <w:sz w:val="24"/>
          <w:szCs w:val="24"/>
        </w:rPr>
        <w:t xml:space="preserve">In cases involving </w:t>
      </w:r>
      <w:r w:rsidR="007C0DEC">
        <w:rPr>
          <w:rFonts w:ascii="Arial" w:hAnsi="Arial" w:cs="Arial"/>
          <w:sz w:val="24"/>
          <w:szCs w:val="24"/>
        </w:rPr>
        <w:t>white-collar</w:t>
      </w:r>
      <w:r>
        <w:rPr>
          <w:rFonts w:ascii="Arial" w:hAnsi="Arial" w:cs="Arial"/>
          <w:sz w:val="24"/>
          <w:szCs w:val="24"/>
        </w:rPr>
        <w:t xml:space="preserve"> </w:t>
      </w:r>
      <w:r w:rsidR="007C0DEC">
        <w:rPr>
          <w:rFonts w:ascii="Arial" w:hAnsi="Arial" w:cs="Arial"/>
          <w:sz w:val="24"/>
          <w:szCs w:val="24"/>
        </w:rPr>
        <w:t xml:space="preserve">criminals it is generally accepted that a softer, more sympathetic approach is often more successful than adopting a more intimidating approach. In A Guide to Forensic Accounting Investigation by Golden, </w:t>
      </w:r>
      <w:proofErr w:type="spellStart"/>
      <w:r w:rsidR="007C0DEC">
        <w:rPr>
          <w:rFonts w:ascii="Arial" w:hAnsi="Arial" w:cs="Arial"/>
          <w:sz w:val="24"/>
          <w:szCs w:val="24"/>
        </w:rPr>
        <w:t>Skalak</w:t>
      </w:r>
      <w:proofErr w:type="spellEnd"/>
      <w:r w:rsidR="007C0DEC">
        <w:rPr>
          <w:rFonts w:ascii="Arial" w:hAnsi="Arial" w:cs="Arial"/>
          <w:sz w:val="24"/>
          <w:szCs w:val="24"/>
        </w:rPr>
        <w:t xml:space="preserve"> and Clayton they suggest the following approaches -:</w:t>
      </w:r>
    </w:p>
    <w:p w14:paraId="3BC1E738" w14:textId="735F3073" w:rsidR="00F41DC6" w:rsidRPr="007C0DEC" w:rsidRDefault="007C0DEC" w:rsidP="007C0DEC">
      <w:pPr>
        <w:pStyle w:val="ListParagraph"/>
        <w:numPr>
          <w:ilvl w:val="0"/>
          <w:numId w:val="23"/>
        </w:numPr>
        <w:spacing w:line="360" w:lineRule="auto"/>
        <w:ind w:left="851" w:hanging="284"/>
        <w:jc w:val="both"/>
        <w:rPr>
          <w:rFonts w:ascii="Arial" w:hAnsi="Arial" w:cs="Arial"/>
          <w:b/>
          <w:sz w:val="24"/>
          <w:szCs w:val="24"/>
        </w:rPr>
      </w:pPr>
      <w:r>
        <w:rPr>
          <w:rFonts w:ascii="Arial" w:hAnsi="Arial" w:cs="Arial"/>
          <w:sz w:val="24"/>
          <w:szCs w:val="24"/>
        </w:rPr>
        <w:t>Logical</w:t>
      </w:r>
    </w:p>
    <w:p w14:paraId="448D14AE" w14:textId="1A485A1C" w:rsidR="007C0DEC" w:rsidRPr="007C0DEC" w:rsidRDefault="007C0DEC" w:rsidP="007C0DEC">
      <w:pPr>
        <w:pStyle w:val="ListParagraph"/>
        <w:numPr>
          <w:ilvl w:val="0"/>
          <w:numId w:val="23"/>
        </w:numPr>
        <w:spacing w:line="360" w:lineRule="auto"/>
        <w:ind w:left="851" w:hanging="284"/>
        <w:jc w:val="both"/>
        <w:rPr>
          <w:rFonts w:ascii="Arial" w:hAnsi="Arial" w:cs="Arial"/>
          <w:b/>
          <w:sz w:val="24"/>
          <w:szCs w:val="24"/>
        </w:rPr>
      </w:pPr>
      <w:r>
        <w:rPr>
          <w:rFonts w:ascii="Arial" w:hAnsi="Arial" w:cs="Arial"/>
          <w:sz w:val="24"/>
          <w:szCs w:val="24"/>
        </w:rPr>
        <w:t>Do-the-right-thing</w:t>
      </w:r>
    </w:p>
    <w:p w14:paraId="25D2926E" w14:textId="256DAE24" w:rsidR="007C0DEC" w:rsidRPr="007C0DEC" w:rsidRDefault="007C0DEC" w:rsidP="007C0DEC">
      <w:pPr>
        <w:pStyle w:val="ListParagraph"/>
        <w:numPr>
          <w:ilvl w:val="0"/>
          <w:numId w:val="23"/>
        </w:numPr>
        <w:spacing w:line="360" w:lineRule="auto"/>
        <w:ind w:left="851" w:hanging="284"/>
        <w:jc w:val="both"/>
        <w:rPr>
          <w:rFonts w:ascii="Arial" w:hAnsi="Arial" w:cs="Arial"/>
          <w:b/>
          <w:sz w:val="24"/>
          <w:szCs w:val="24"/>
        </w:rPr>
      </w:pPr>
      <w:r>
        <w:rPr>
          <w:rFonts w:ascii="Arial" w:hAnsi="Arial" w:cs="Arial"/>
          <w:sz w:val="24"/>
          <w:szCs w:val="24"/>
        </w:rPr>
        <w:t>Using silence</w:t>
      </w:r>
    </w:p>
    <w:p w14:paraId="64B596F9" w14:textId="2215C766" w:rsidR="007C0DEC" w:rsidRPr="007C0DEC" w:rsidRDefault="007C0DEC" w:rsidP="007C0DEC">
      <w:pPr>
        <w:pStyle w:val="ListParagraph"/>
        <w:numPr>
          <w:ilvl w:val="0"/>
          <w:numId w:val="23"/>
        </w:numPr>
        <w:spacing w:line="360" w:lineRule="auto"/>
        <w:ind w:left="851" w:hanging="284"/>
        <w:jc w:val="both"/>
        <w:rPr>
          <w:rFonts w:ascii="Arial" w:hAnsi="Arial" w:cs="Arial"/>
          <w:b/>
          <w:sz w:val="24"/>
          <w:szCs w:val="24"/>
        </w:rPr>
      </w:pPr>
      <w:r>
        <w:rPr>
          <w:rFonts w:ascii="Arial" w:hAnsi="Arial" w:cs="Arial"/>
          <w:sz w:val="24"/>
          <w:szCs w:val="24"/>
        </w:rPr>
        <w:t>Rationalizing</w:t>
      </w:r>
    </w:p>
    <w:p w14:paraId="7BBE7331" w14:textId="7A45F702" w:rsidR="007C0DEC" w:rsidRDefault="007C0DEC" w:rsidP="007C0DEC">
      <w:pPr>
        <w:pStyle w:val="ListParagraph"/>
        <w:numPr>
          <w:ilvl w:val="0"/>
          <w:numId w:val="23"/>
        </w:numPr>
        <w:spacing w:line="360" w:lineRule="auto"/>
        <w:ind w:left="851" w:hanging="284"/>
        <w:jc w:val="both"/>
        <w:rPr>
          <w:rFonts w:ascii="Arial" w:hAnsi="Arial" w:cs="Arial"/>
          <w:sz w:val="24"/>
          <w:szCs w:val="24"/>
        </w:rPr>
      </w:pPr>
      <w:r w:rsidRPr="007C0DEC">
        <w:rPr>
          <w:rFonts w:ascii="Arial" w:hAnsi="Arial" w:cs="Arial"/>
          <w:sz w:val="24"/>
          <w:szCs w:val="24"/>
        </w:rPr>
        <w:t>Asking questions</w:t>
      </w:r>
      <w:r>
        <w:rPr>
          <w:rFonts w:ascii="Arial" w:hAnsi="Arial" w:cs="Arial"/>
          <w:sz w:val="24"/>
          <w:szCs w:val="24"/>
        </w:rPr>
        <w:t xml:space="preserve"> for which the answer is already known.</w:t>
      </w:r>
    </w:p>
    <w:p w14:paraId="6F6113EA" w14:textId="5157DDE9" w:rsidR="007C0DEC" w:rsidRPr="00B25786" w:rsidRDefault="007C0DEC" w:rsidP="007C0DEC">
      <w:pPr>
        <w:pStyle w:val="ListParagraph"/>
        <w:spacing w:line="360" w:lineRule="auto"/>
        <w:ind w:left="0"/>
        <w:jc w:val="both"/>
        <w:rPr>
          <w:rFonts w:ascii="Arial" w:hAnsi="Arial" w:cs="Arial"/>
          <w:b/>
          <w:sz w:val="24"/>
          <w:szCs w:val="24"/>
        </w:rPr>
      </w:pPr>
      <w:r>
        <w:rPr>
          <w:rFonts w:ascii="Arial" w:hAnsi="Arial" w:cs="Arial"/>
          <w:sz w:val="24"/>
          <w:szCs w:val="24"/>
        </w:rPr>
        <w:t>Interview</w:t>
      </w:r>
      <w:r w:rsidR="00B25786">
        <w:rPr>
          <w:rFonts w:ascii="Arial" w:hAnsi="Arial" w:cs="Arial"/>
          <w:sz w:val="24"/>
          <w:szCs w:val="24"/>
        </w:rPr>
        <w:t>er</w:t>
      </w:r>
      <w:r>
        <w:rPr>
          <w:rFonts w:ascii="Arial" w:hAnsi="Arial" w:cs="Arial"/>
          <w:sz w:val="24"/>
          <w:szCs w:val="24"/>
        </w:rPr>
        <w:t>s are not permitted to use coercion or duress and are recommended not to bluff.</w:t>
      </w:r>
    </w:p>
    <w:p w14:paraId="32E922FD" w14:textId="60B5BF8B" w:rsidR="00B25786" w:rsidRPr="00B25786" w:rsidRDefault="00B25786" w:rsidP="00B25786">
      <w:pPr>
        <w:pStyle w:val="ListParagraph"/>
        <w:numPr>
          <w:ilvl w:val="0"/>
          <w:numId w:val="22"/>
        </w:numPr>
        <w:spacing w:line="360" w:lineRule="auto"/>
        <w:ind w:left="426" w:hanging="284"/>
        <w:jc w:val="both"/>
        <w:rPr>
          <w:rFonts w:ascii="Arial" w:hAnsi="Arial" w:cs="Arial"/>
          <w:b/>
          <w:sz w:val="24"/>
          <w:szCs w:val="24"/>
        </w:rPr>
      </w:pPr>
      <w:r>
        <w:rPr>
          <w:rFonts w:ascii="Arial" w:hAnsi="Arial" w:cs="Arial"/>
          <w:b/>
          <w:sz w:val="24"/>
          <w:szCs w:val="24"/>
        </w:rPr>
        <w:t xml:space="preserve">Photographs – </w:t>
      </w:r>
      <w:r>
        <w:rPr>
          <w:rFonts w:ascii="Arial" w:hAnsi="Arial" w:cs="Arial"/>
          <w:sz w:val="24"/>
          <w:szCs w:val="24"/>
        </w:rPr>
        <w:t xml:space="preserve">Depending on the nature of the financial crime it may be possible for an investigator to obtain photographic evidence to support the prosecutors case e.g. the handing over of an envelop to a government official.  </w:t>
      </w:r>
    </w:p>
    <w:p w14:paraId="22E9ED0E" w14:textId="1A390842" w:rsidR="00F41DC6" w:rsidRDefault="005130C4" w:rsidP="005130C4">
      <w:pPr>
        <w:pStyle w:val="ListParagraph"/>
        <w:spacing w:line="360" w:lineRule="auto"/>
        <w:ind w:left="0"/>
        <w:jc w:val="both"/>
        <w:rPr>
          <w:rFonts w:ascii="Arial" w:hAnsi="Arial" w:cs="Arial"/>
          <w:sz w:val="24"/>
          <w:szCs w:val="24"/>
        </w:rPr>
      </w:pPr>
      <w:r>
        <w:rPr>
          <w:rFonts w:ascii="Arial" w:hAnsi="Arial" w:cs="Arial"/>
          <w:sz w:val="24"/>
          <w:szCs w:val="24"/>
        </w:rPr>
        <w:t>The type of evidence gathered in a forensic accounting investigation will vary, potentially significantly, depending on the nature of the financial crime. However, a successful prosecution will generally require a combination of evidence gained from both financial and non-financial sources.</w:t>
      </w:r>
    </w:p>
    <w:p w14:paraId="18FE866C" w14:textId="77777777" w:rsidR="005130C4" w:rsidRPr="005130C4" w:rsidRDefault="005130C4" w:rsidP="005130C4">
      <w:pPr>
        <w:pStyle w:val="ListParagraph"/>
        <w:spacing w:line="360" w:lineRule="auto"/>
        <w:ind w:left="0"/>
        <w:jc w:val="both"/>
        <w:rPr>
          <w:rFonts w:ascii="Arial" w:hAnsi="Arial" w:cs="Arial"/>
          <w:sz w:val="24"/>
          <w:szCs w:val="24"/>
        </w:rPr>
      </w:pPr>
    </w:p>
    <w:p w14:paraId="5E8A37A9" w14:textId="1018EE83" w:rsidR="00243731"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w:t>
      </w:r>
      <w:r w:rsidR="005130C4">
        <w:rPr>
          <w:rFonts w:ascii="Arial" w:hAnsi="Arial" w:cs="Arial"/>
          <w:b/>
          <w:sz w:val="24"/>
          <w:szCs w:val="24"/>
          <w:lang w:val="en-GB"/>
        </w:rPr>
        <w:t xml:space="preserve">2 – What is the importance of body language in the interviewing </w:t>
      </w:r>
      <w:proofErr w:type="gramStart"/>
      <w:r w:rsidR="005130C4">
        <w:rPr>
          <w:rFonts w:ascii="Arial" w:hAnsi="Arial" w:cs="Arial"/>
          <w:b/>
          <w:sz w:val="24"/>
          <w:szCs w:val="24"/>
          <w:lang w:val="en-GB"/>
        </w:rPr>
        <w:t>procedure</w:t>
      </w:r>
      <w:r w:rsidR="00FB1FC7">
        <w:rPr>
          <w:rFonts w:ascii="Arial" w:hAnsi="Arial" w:cs="Arial"/>
          <w:b/>
          <w:sz w:val="24"/>
          <w:szCs w:val="24"/>
          <w:lang w:val="en-GB"/>
        </w:rPr>
        <w:t xml:space="preserve"> ?</w:t>
      </w:r>
      <w:proofErr w:type="gramEnd"/>
    </w:p>
    <w:p w14:paraId="2782CD64" w14:textId="21522691" w:rsidR="005130C4"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Body language can be defined as the conscious, and unconscious</w:t>
      </w:r>
      <w:r w:rsidR="0018344B">
        <w:rPr>
          <w:rFonts w:ascii="Arial" w:hAnsi="Arial" w:cs="Arial"/>
          <w:sz w:val="24"/>
          <w:szCs w:val="24"/>
          <w:lang w:val="en-GB"/>
        </w:rPr>
        <w:t>,</w:t>
      </w:r>
      <w:r>
        <w:rPr>
          <w:rFonts w:ascii="Arial" w:hAnsi="Arial" w:cs="Arial"/>
          <w:sz w:val="24"/>
          <w:szCs w:val="24"/>
          <w:lang w:val="en-GB"/>
        </w:rPr>
        <w:t xml:space="preserve"> movements by which attitudes and feelings are communicated. It is a non-verbal form of communication, which can include facial expressions, body posture, gestures, eye movement etc. However, unlike most </w:t>
      </w:r>
      <w:r w:rsidR="00681572">
        <w:rPr>
          <w:rFonts w:ascii="Arial" w:hAnsi="Arial" w:cs="Arial"/>
          <w:sz w:val="24"/>
          <w:szCs w:val="24"/>
          <w:lang w:val="en-GB"/>
        </w:rPr>
        <w:t>“</w:t>
      </w:r>
      <w:r>
        <w:rPr>
          <w:rFonts w:ascii="Arial" w:hAnsi="Arial" w:cs="Arial"/>
          <w:sz w:val="24"/>
          <w:szCs w:val="24"/>
          <w:lang w:val="en-GB"/>
        </w:rPr>
        <w:t>languages</w:t>
      </w:r>
      <w:r w:rsidR="00681572">
        <w:rPr>
          <w:rFonts w:ascii="Arial" w:hAnsi="Arial" w:cs="Arial"/>
          <w:sz w:val="24"/>
          <w:szCs w:val="24"/>
          <w:lang w:val="en-GB"/>
        </w:rPr>
        <w:t>”</w:t>
      </w:r>
      <w:r>
        <w:rPr>
          <w:rFonts w:ascii="Arial" w:hAnsi="Arial" w:cs="Arial"/>
          <w:sz w:val="24"/>
          <w:szCs w:val="24"/>
          <w:lang w:val="en-GB"/>
        </w:rPr>
        <w:t xml:space="preserve">, there isn’t a dictionary defining exactly what each movement means and there can be different interpretations between individuals, cultures and countries. </w:t>
      </w:r>
    </w:p>
    <w:p w14:paraId="173B4CD0" w14:textId="65517D70" w:rsidR="001D3D96"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In 1971 Professor </w:t>
      </w:r>
      <w:proofErr w:type="spellStart"/>
      <w:r>
        <w:rPr>
          <w:rFonts w:ascii="Arial" w:hAnsi="Arial" w:cs="Arial"/>
          <w:sz w:val="24"/>
          <w:szCs w:val="24"/>
          <w:lang w:val="en-GB"/>
        </w:rPr>
        <w:t>Mehrabian</w:t>
      </w:r>
      <w:proofErr w:type="spellEnd"/>
      <w:r>
        <w:rPr>
          <w:rFonts w:ascii="Arial" w:hAnsi="Arial" w:cs="Arial"/>
          <w:sz w:val="24"/>
          <w:szCs w:val="24"/>
          <w:lang w:val="en-GB"/>
        </w:rPr>
        <w:t xml:space="preserve"> published a book, Silent Messages, where he discussed the results of his research from which he concluded that 7% of communication was verbal, 55% resulted from body language and 38% from tone of </w:t>
      </w:r>
      <w:r>
        <w:rPr>
          <w:rFonts w:ascii="Arial" w:hAnsi="Arial" w:cs="Arial"/>
          <w:sz w:val="24"/>
          <w:szCs w:val="24"/>
          <w:lang w:val="en-GB"/>
        </w:rPr>
        <w:lastRenderedPageBreak/>
        <w:t>voice. While this research has been contested, it is generally accepted that body language is a powerful form of communication. This is especially true in an interview environment.</w:t>
      </w:r>
    </w:p>
    <w:p w14:paraId="23F767AF" w14:textId="202245F9" w:rsidR="001D3D96"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In Singleton and Singleton’s book, Fraud Auditing and Forensic Accounting, they state that a suspect’s behaviours, physical expressions or communications can be cues as to the veracity of their statements. It is generally accepted that when an individual is stressed, nervous, feeling self-conscious or is attempting to conceal the truth they will contract into their body. This may be reflected by them slouching, crossing their arms</w:t>
      </w:r>
      <w:r w:rsidR="007119D7">
        <w:rPr>
          <w:rFonts w:ascii="Arial" w:hAnsi="Arial" w:cs="Arial"/>
          <w:sz w:val="24"/>
          <w:szCs w:val="24"/>
          <w:lang w:val="en-GB"/>
        </w:rPr>
        <w:t>,</w:t>
      </w:r>
      <w:r>
        <w:rPr>
          <w:rFonts w:ascii="Arial" w:hAnsi="Arial" w:cs="Arial"/>
          <w:sz w:val="24"/>
          <w:szCs w:val="24"/>
          <w:lang w:val="en-GB"/>
        </w:rPr>
        <w:t xml:space="preserve"> </w:t>
      </w:r>
      <w:r w:rsidR="00E26CF1">
        <w:rPr>
          <w:rFonts w:ascii="Arial" w:hAnsi="Arial" w:cs="Arial"/>
          <w:sz w:val="24"/>
          <w:szCs w:val="24"/>
          <w:lang w:val="en-GB"/>
        </w:rPr>
        <w:t xml:space="preserve">locking their legs, </w:t>
      </w:r>
      <w:r w:rsidR="00AA4684">
        <w:rPr>
          <w:rFonts w:ascii="Arial" w:hAnsi="Arial" w:cs="Arial"/>
          <w:sz w:val="24"/>
          <w:szCs w:val="24"/>
          <w:lang w:val="en-GB"/>
        </w:rPr>
        <w:t xml:space="preserve">an increased level of blinking, </w:t>
      </w:r>
      <w:r>
        <w:rPr>
          <w:rFonts w:ascii="Arial" w:hAnsi="Arial" w:cs="Arial"/>
          <w:sz w:val="24"/>
          <w:szCs w:val="24"/>
          <w:lang w:val="en-GB"/>
        </w:rPr>
        <w:t>refusing to make eye contact</w:t>
      </w:r>
      <w:r w:rsidR="00AA4684">
        <w:rPr>
          <w:rFonts w:ascii="Arial" w:hAnsi="Arial" w:cs="Arial"/>
          <w:sz w:val="24"/>
          <w:szCs w:val="24"/>
          <w:lang w:val="en-GB"/>
        </w:rPr>
        <w:t xml:space="preserve"> or excessive rubbing of their eyes</w:t>
      </w:r>
      <w:r>
        <w:rPr>
          <w:rFonts w:ascii="Arial" w:hAnsi="Arial" w:cs="Arial"/>
          <w:sz w:val="24"/>
          <w:szCs w:val="24"/>
          <w:lang w:val="en-GB"/>
        </w:rPr>
        <w:t>.</w:t>
      </w:r>
      <w:r w:rsidR="00E26CF1">
        <w:rPr>
          <w:rFonts w:ascii="Arial" w:hAnsi="Arial" w:cs="Arial"/>
          <w:sz w:val="24"/>
          <w:szCs w:val="24"/>
          <w:lang w:val="en-GB"/>
        </w:rPr>
        <w:t xml:space="preserve"> Generally when a person is lying there is a level of internal conflict, which they attempt to hide. They may respond to the questions overly quickly, with a physical attitude of defiance, or they may adopt time wasting gestures e.g. picking lint from their clothing, as a cover for needing more time to check the consistency of their answers. </w:t>
      </w:r>
    </w:p>
    <w:p w14:paraId="10E15BD2" w14:textId="5B2E9124" w:rsidR="001D3D96"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The body language of an experienced interviewer can be equally important as their physical posture can imply confidence in their evidence or their facial expressions a</w:t>
      </w:r>
      <w:r w:rsidR="00E26CF1">
        <w:rPr>
          <w:rFonts w:ascii="Arial" w:hAnsi="Arial" w:cs="Arial"/>
          <w:sz w:val="24"/>
          <w:szCs w:val="24"/>
          <w:lang w:val="en-GB"/>
        </w:rPr>
        <w:t>n</w:t>
      </w:r>
      <w:r>
        <w:rPr>
          <w:rFonts w:ascii="Arial" w:hAnsi="Arial" w:cs="Arial"/>
          <w:sz w:val="24"/>
          <w:szCs w:val="24"/>
          <w:lang w:val="en-GB"/>
        </w:rPr>
        <w:t>d gestures can imply a level of empathy / understanding of the suspects position, which may make them more likely to open up as to the circumstances of the financial crime.</w:t>
      </w:r>
    </w:p>
    <w:p w14:paraId="123782D4" w14:textId="422AC4A2" w:rsidR="001D3D96"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An experienced interviewer will also learn to recognise when a suspect’s verbal language, and body language, are out of sync e.g. they may state they know nothing about the crime but if they refuse to look at the interviewer, slump their shoulders and / or mumble their answer this would generally indicate that they are not telling the truth. As an individual is often not aware of their body language this is often considered to be more credible than the verbal language.</w:t>
      </w:r>
    </w:p>
    <w:p w14:paraId="7BDC014C" w14:textId="3E05EA4A" w:rsidR="001D3D96" w:rsidRPr="005130C4" w:rsidRDefault="001D3D96"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However</w:t>
      </w:r>
      <w:r w:rsidR="0016673F">
        <w:rPr>
          <w:rFonts w:ascii="Arial" w:hAnsi="Arial" w:cs="Arial"/>
          <w:sz w:val="24"/>
          <w:szCs w:val="24"/>
          <w:lang w:val="en-GB"/>
        </w:rPr>
        <w:t xml:space="preserve"> body language can only give cues, or be an indicator of an area of concern, as every individual reacts differently e.g. a person who has been brought up in a traditional culture, where they are taught to respect their elders, may consider it inappropriate to hold eye contact with an older, more senior, interviewer. Therefore it is important that an interviewer is aware of the body</w:t>
      </w:r>
      <w:r w:rsidR="008251F6">
        <w:rPr>
          <w:rFonts w:ascii="Arial" w:hAnsi="Arial" w:cs="Arial"/>
          <w:sz w:val="24"/>
          <w:szCs w:val="24"/>
          <w:lang w:val="en-GB"/>
        </w:rPr>
        <w:t xml:space="preserve"> language of a suspect during the questioning</w:t>
      </w:r>
      <w:r w:rsidR="0016673F">
        <w:rPr>
          <w:rFonts w:ascii="Arial" w:hAnsi="Arial" w:cs="Arial"/>
          <w:sz w:val="24"/>
          <w:szCs w:val="24"/>
          <w:lang w:val="en-GB"/>
        </w:rPr>
        <w:t xml:space="preserve">, and cognisant of what the behaviours may be communicating, however, body language during an interview is not admissible </w:t>
      </w:r>
      <w:r w:rsidR="0008706D">
        <w:rPr>
          <w:rFonts w:ascii="Arial" w:hAnsi="Arial" w:cs="Arial"/>
          <w:sz w:val="24"/>
          <w:szCs w:val="24"/>
          <w:lang w:val="en-GB"/>
        </w:rPr>
        <w:t>as evidence in court</w:t>
      </w:r>
      <w:r w:rsidR="0016673F">
        <w:rPr>
          <w:rFonts w:ascii="Arial" w:hAnsi="Arial" w:cs="Arial"/>
          <w:sz w:val="24"/>
          <w:szCs w:val="24"/>
          <w:lang w:val="en-GB"/>
        </w:rPr>
        <w:t>.</w:t>
      </w:r>
    </w:p>
    <w:p w14:paraId="26463BDD" w14:textId="77777777" w:rsidR="0008706D" w:rsidRDefault="0008706D">
      <w:pPr>
        <w:rPr>
          <w:rFonts w:ascii="Arial" w:hAnsi="Arial" w:cs="Arial"/>
          <w:b/>
          <w:sz w:val="24"/>
          <w:szCs w:val="24"/>
        </w:rPr>
      </w:pPr>
      <w:r>
        <w:rPr>
          <w:rFonts w:ascii="Arial" w:hAnsi="Arial" w:cs="Arial"/>
          <w:b/>
          <w:sz w:val="24"/>
          <w:szCs w:val="24"/>
        </w:rPr>
        <w:br w:type="page"/>
      </w:r>
    </w:p>
    <w:p w14:paraId="48A00D39" w14:textId="03F9EEAE" w:rsidR="008A2CA7" w:rsidRDefault="00284B86" w:rsidP="008A2CA7">
      <w:pPr>
        <w:spacing w:line="360" w:lineRule="auto"/>
        <w:jc w:val="both"/>
        <w:rPr>
          <w:rFonts w:ascii="Arial" w:hAnsi="Arial" w:cs="Arial"/>
          <w:b/>
          <w:sz w:val="24"/>
          <w:szCs w:val="24"/>
        </w:rPr>
      </w:pPr>
      <w:r>
        <w:rPr>
          <w:rFonts w:ascii="Arial" w:hAnsi="Arial" w:cs="Arial"/>
          <w:b/>
          <w:sz w:val="24"/>
          <w:szCs w:val="24"/>
        </w:rPr>
        <w:lastRenderedPageBreak/>
        <w:t xml:space="preserve">Q3 – How is the SCAN Analysis used as an interview </w:t>
      </w:r>
      <w:proofErr w:type="gramStart"/>
      <w:r>
        <w:rPr>
          <w:rFonts w:ascii="Arial" w:hAnsi="Arial" w:cs="Arial"/>
          <w:b/>
          <w:sz w:val="24"/>
          <w:szCs w:val="24"/>
        </w:rPr>
        <w:t>technique ?</w:t>
      </w:r>
      <w:proofErr w:type="gramEnd"/>
    </w:p>
    <w:p w14:paraId="3210C92D" w14:textId="6F735F08" w:rsidR="00F63889" w:rsidRDefault="00F63889" w:rsidP="008A2CA7">
      <w:pPr>
        <w:spacing w:line="360" w:lineRule="auto"/>
        <w:jc w:val="both"/>
        <w:rPr>
          <w:rFonts w:ascii="Arial" w:hAnsi="Arial" w:cs="Arial"/>
          <w:sz w:val="24"/>
          <w:szCs w:val="24"/>
        </w:rPr>
      </w:pPr>
      <w:r>
        <w:rPr>
          <w:rFonts w:ascii="Arial" w:hAnsi="Arial" w:cs="Arial"/>
          <w:sz w:val="24"/>
          <w:szCs w:val="24"/>
        </w:rPr>
        <w:t>SCAN is the short form for Scientific Content Analysis, which is a technique designed to highlight potentially deceptive language</w:t>
      </w:r>
      <w:r w:rsidR="0008706D">
        <w:rPr>
          <w:rFonts w:ascii="Arial" w:hAnsi="Arial" w:cs="Arial"/>
          <w:sz w:val="24"/>
          <w:szCs w:val="24"/>
        </w:rPr>
        <w:t>,</w:t>
      </w:r>
      <w:r>
        <w:rPr>
          <w:rFonts w:ascii="Arial" w:hAnsi="Arial" w:cs="Arial"/>
          <w:sz w:val="24"/>
          <w:szCs w:val="24"/>
        </w:rPr>
        <w:t xml:space="preserve"> within a written statement. It is important to note that this technique does not claim to identify if a suspect is lying. However, by identifying possible areas of deception the results of SCAN can be utilised to help plan the approach, focus or strategy, adopted during an interview.</w:t>
      </w:r>
    </w:p>
    <w:p w14:paraId="1025B7ED" w14:textId="77777777" w:rsidR="00F63889" w:rsidRDefault="00F63889" w:rsidP="008A2CA7">
      <w:pPr>
        <w:spacing w:line="360" w:lineRule="auto"/>
        <w:jc w:val="both"/>
        <w:rPr>
          <w:rFonts w:ascii="Arial" w:hAnsi="Arial" w:cs="Arial"/>
          <w:sz w:val="24"/>
          <w:szCs w:val="24"/>
        </w:rPr>
      </w:pPr>
      <w:r>
        <w:rPr>
          <w:rFonts w:ascii="Arial" w:hAnsi="Arial" w:cs="Arial"/>
          <w:sz w:val="24"/>
          <w:szCs w:val="24"/>
        </w:rPr>
        <w:t xml:space="preserve">The technique was created by </w:t>
      </w:r>
      <w:proofErr w:type="spellStart"/>
      <w:r>
        <w:rPr>
          <w:rFonts w:ascii="Arial" w:hAnsi="Arial" w:cs="Arial"/>
          <w:sz w:val="24"/>
          <w:szCs w:val="24"/>
        </w:rPr>
        <w:t>Arinoam</w:t>
      </w:r>
      <w:proofErr w:type="spellEnd"/>
      <w:r>
        <w:rPr>
          <w:rFonts w:ascii="Arial" w:hAnsi="Arial" w:cs="Arial"/>
          <w:sz w:val="24"/>
          <w:szCs w:val="24"/>
        </w:rPr>
        <w:t xml:space="preserve"> Sapir, a former Israeli police lieutenant, and has been taught to a variety of American and foreign police and investigative agencies. According to Sapir c. 90% of statements made are truthful, however, suspects will hedge, omit crucial facts, feign forgetfulness and pretend ignorance. SCAN studies speech patterns, looking for signs of deception by analysing both the structure and content of the statement.</w:t>
      </w:r>
    </w:p>
    <w:p w14:paraId="404E4BA3" w14:textId="7E225423" w:rsidR="00F63889" w:rsidRDefault="0008706D" w:rsidP="008A2CA7">
      <w:pPr>
        <w:spacing w:line="360" w:lineRule="auto"/>
        <w:jc w:val="both"/>
        <w:rPr>
          <w:rFonts w:ascii="Arial" w:hAnsi="Arial" w:cs="Arial"/>
          <w:sz w:val="24"/>
          <w:szCs w:val="24"/>
        </w:rPr>
      </w:pPr>
      <w:r>
        <w:rPr>
          <w:rFonts w:ascii="Arial" w:hAnsi="Arial" w:cs="Arial"/>
          <w:sz w:val="24"/>
          <w:szCs w:val="24"/>
        </w:rPr>
        <w:t>SCAN is undertaken o</w:t>
      </w:r>
      <w:r w:rsidR="00F63889">
        <w:rPr>
          <w:rFonts w:ascii="Arial" w:hAnsi="Arial" w:cs="Arial"/>
          <w:sz w:val="24"/>
          <w:szCs w:val="24"/>
        </w:rPr>
        <w:t>n a written statement and to be successful the statement must be ‘pure’ i.e. uncontaminated by the bias, or interpretation, of the investigator. It is therefore preferable that the statement is written by the suspect</w:t>
      </w:r>
      <w:proofErr w:type="gramStart"/>
      <w:r w:rsidR="00F63889">
        <w:rPr>
          <w:rFonts w:ascii="Arial" w:hAnsi="Arial" w:cs="Arial"/>
          <w:sz w:val="24"/>
          <w:szCs w:val="24"/>
        </w:rPr>
        <w:t>;</w:t>
      </w:r>
      <w:proofErr w:type="gramEnd"/>
      <w:r w:rsidR="00F63889">
        <w:rPr>
          <w:rFonts w:ascii="Arial" w:hAnsi="Arial" w:cs="Arial"/>
          <w:sz w:val="24"/>
          <w:szCs w:val="24"/>
        </w:rPr>
        <w:t xml:space="preserve"> using his or her own words. In this scenario the written statement will generally be made before the interview, analysed to identify potential areas of deception, which are then drilled into further in the interview. However, the statement can also be elicited during the course of an interview. In this scenario Sapir states that a successful interview is one where the suspect speaks for 95% of the time, thereby minimising the interviewers contribution to the statement. Following analysis of the statement a follow up interview can be undertaken.</w:t>
      </w:r>
    </w:p>
    <w:p w14:paraId="3F8E5DAC" w14:textId="3722BFDE" w:rsidR="00F63889" w:rsidRDefault="00F63889" w:rsidP="008A2CA7">
      <w:pPr>
        <w:spacing w:line="360" w:lineRule="auto"/>
        <w:jc w:val="both"/>
        <w:rPr>
          <w:rFonts w:ascii="Arial" w:hAnsi="Arial" w:cs="Arial"/>
          <w:sz w:val="24"/>
          <w:szCs w:val="24"/>
        </w:rPr>
      </w:pPr>
      <w:r>
        <w:rPr>
          <w:rFonts w:ascii="Arial" w:hAnsi="Arial" w:cs="Arial"/>
          <w:sz w:val="24"/>
          <w:szCs w:val="24"/>
        </w:rPr>
        <w:t>The language of the statement is analysed, using a number of criteria established by Sapir e.g.</w:t>
      </w:r>
    </w:p>
    <w:p w14:paraId="428032EE" w14:textId="45B60004" w:rsidR="00F63889" w:rsidRDefault="00F63889"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Change in language – If an individual is inconsistent in their vocabulary use this is indicative of a deceptive statement.</w:t>
      </w:r>
    </w:p>
    <w:p w14:paraId="722B83C6" w14:textId="40463ABC" w:rsidR="00F63889"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Emotions – If emotional references are inappropriately placed within the statement, then this indicates deception.</w:t>
      </w:r>
    </w:p>
    <w:p w14:paraId="407AF26F" w14:textId="77777777"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 xml:space="preserve">Use of pronouns – Omitting the ‘I’ demonstrates that the suspect is reluctant to commit to the action or the use of ‘we’, instead of ‘I’, shows that the suspect is absolving themselves of personal responsibility. Also if a pronoun is </w:t>
      </w:r>
      <w:r>
        <w:rPr>
          <w:rFonts w:ascii="Arial" w:hAnsi="Arial" w:cs="Arial"/>
          <w:sz w:val="24"/>
          <w:szCs w:val="24"/>
        </w:rPr>
        <w:lastRenderedPageBreak/>
        <w:t>inappropriately changed, or omitted, this can reflect that the suspect is denying ownership.</w:t>
      </w:r>
    </w:p>
    <w:p w14:paraId="49E01FE0" w14:textId="77777777"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Lack of conviction or memory – When a suspect lacks conviction, is deliberately vague, or pretends not to remember this generally means they are being deceptive.</w:t>
      </w:r>
    </w:p>
    <w:p w14:paraId="6DFBC015" w14:textId="77777777"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No denial of allegations – Truthful suspects will often directly deny allegations, whereas deceptive suspects will not.</w:t>
      </w:r>
    </w:p>
    <w:p w14:paraId="7DE9A5DE" w14:textId="0602B86E"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 xml:space="preserve">Corrections – Within a written statement </w:t>
      </w:r>
      <w:r w:rsidR="0008706D">
        <w:rPr>
          <w:rFonts w:ascii="Arial" w:hAnsi="Arial" w:cs="Arial"/>
          <w:sz w:val="24"/>
          <w:szCs w:val="24"/>
        </w:rPr>
        <w:t xml:space="preserve">these </w:t>
      </w:r>
      <w:r>
        <w:rPr>
          <w:rFonts w:ascii="Arial" w:hAnsi="Arial" w:cs="Arial"/>
          <w:sz w:val="24"/>
          <w:szCs w:val="24"/>
        </w:rPr>
        <w:t>may indicate deception.</w:t>
      </w:r>
    </w:p>
    <w:p w14:paraId="00EBFA20" w14:textId="77777777"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Structure – Truthful statements should be balanced e.g. 20% for introduction, 50% on the event and 30% on the conclusion.</w:t>
      </w:r>
    </w:p>
    <w:p w14:paraId="5210BFEC" w14:textId="77777777"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Change in tense – A truthful statement should be written in the first person, singular, past tense.</w:t>
      </w:r>
    </w:p>
    <w:p w14:paraId="2745E6A0" w14:textId="1C1A2B16"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Logic – Most deceptive stories are governed by logic whereas true stories are not necessarily logical.</w:t>
      </w:r>
    </w:p>
    <w:p w14:paraId="74B78A6C" w14:textId="66AFC668" w:rsidR="008376D5" w:rsidRDefault="008376D5" w:rsidP="00F63889">
      <w:pPr>
        <w:pStyle w:val="ListParagraph"/>
        <w:numPr>
          <w:ilvl w:val="0"/>
          <w:numId w:val="24"/>
        </w:numPr>
        <w:spacing w:line="360" w:lineRule="auto"/>
        <w:ind w:left="567" w:hanging="283"/>
        <w:jc w:val="both"/>
        <w:rPr>
          <w:rFonts w:ascii="Arial" w:hAnsi="Arial" w:cs="Arial"/>
          <w:sz w:val="24"/>
          <w:szCs w:val="24"/>
        </w:rPr>
      </w:pPr>
      <w:r>
        <w:rPr>
          <w:rFonts w:ascii="Arial" w:hAnsi="Arial" w:cs="Arial"/>
          <w:sz w:val="24"/>
          <w:szCs w:val="24"/>
        </w:rPr>
        <w:t xml:space="preserve">Unimportant details – Truthful statements will include unimportant details, along with the critical facts. Whereas, a deceptive statement will be a “stripped down” version.  </w:t>
      </w:r>
    </w:p>
    <w:p w14:paraId="685F558A" w14:textId="019B2E7B" w:rsidR="00056130" w:rsidRDefault="00056130" w:rsidP="00056130">
      <w:pPr>
        <w:pStyle w:val="ListParagraph"/>
        <w:spacing w:line="360" w:lineRule="auto"/>
        <w:ind w:left="0"/>
        <w:jc w:val="both"/>
        <w:rPr>
          <w:rFonts w:ascii="Arial" w:hAnsi="Arial" w:cs="Arial"/>
          <w:sz w:val="24"/>
          <w:szCs w:val="24"/>
        </w:rPr>
      </w:pPr>
      <w:r>
        <w:rPr>
          <w:rFonts w:ascii="Arial" w:hAnsi="Arial" w:cs="Arial"/>
          <w:sz w:val="24"/>
          <w:szCs w:val="24"/>
        </w:rPr>
        <w:t>A skilled interviewer will always use open-ended questions, as a technique to allow the interviewee to open up, with the answers to the first question directing the content, or focus, of the next question. This requires a level of flexibility within the interview process. However, the interviewer will still start the interview with a strategy,</w:t>
      </w:r>
      <w:r w:rsidR="00694DBC">
        <w:rPr>
          <w:rFonts w:ascii="Arial" w:hAnsi="Arial" w:cs="Arial"/>
          <w:sz w:val="24"/>
          <w:szCs w:val="24"/>
        </w:rPr>
        <w:t xml:space="preserve"> and area’s of potential focus. </w:t>
      </w:r>
      <w:r>
        <w:rPr>
          <w:rFonts w:ascii="Arial" w:hAnsi="Arial" w:cs="Arial"/>
          <w:sz w:val="24"/>
          <w:szCs w:val="24"/>
        </w:rPr>
        <w:t>SCAN can be a</w:t>
      </w:r>
      <w:r w:rsidR="00694DBC">
        <w:rPr>
          <w:rFonts w:ascii="Arial" w:hAnsi="Arial" w:cs="Arial"/>
          <w:sz w:val="24"/>
          <w:szCs w:val="24"/>
        </w:rPr>
        <w:t xml:space="preserve"> powerful tool to identify area</w:t>
      </w:r>
      <w:r>
        <w:rPr>
          <w:rFonts w:ascii="Arial" w:hAnsi="Arial" w:cs="Arial"/>
          <w:sz w:val="24"/>
          <w:szCs w:val="24"/>
        </w:rPr>
        <w:t>s of weakness, or omission, within a suspect’s statement. This helps the interviewer to focus on those areas for further investigation during the interview.</w:t>
      </w:r>
    </w:p>
    <w:p w14:paraId="10E8291A" w14:textId="52B9EC8B" w:rsidR="00056130" w:rsidRDefault="00056130" w:rsidP="00056130">
      <w:pPr>
        <w:pStyle w:val="ListParagraph"/>
        <w:spacing w:line="360" w:lineRule="auto"/>
        <w:ind w:left="0"/>
        <w:jc w:val="both"/>
        <w:rPr>
          <w:rFonts w:ascii="Arial" w:hAnsi="Arial" w:cs="Arial"/>
          <w:sz w:val="24"/>
          <w:szCs w:val="24"/>
        </w:rPr>
      </w:pPr>
      <w:r>
        <w:rPr>
          <w:rFonts w:ascii="Arial" w:hAnsi="Arial" w:cs="Arial"/>
          <w:sz w:val="24"/>
          <w:szCs w:val="24"/>
        </w:rPr>
        <w:t>In the Home Office Police Research Series Paper 135, by Nicky Smith, she describes the results of her study, which was designed to assess the effectiveness of SCAN. From this study she concluded that Officers trained in SCAN techniques were equally likely to identify truthful / deceptive statements as Officers with significant investigative experience. However, both groups were significantly more likely to be correct than untrained / inexperienced Officers.</w:t>
      </w:r>
    </w:p>
    <w:p w14:paraId="2CC729E8" w14:textId="3952DE9B" w:rsidR="00EA30AB" w:rsidRPr="00817F89" w:rsidRDefault="00056130" w:rsidP="00694DBC">
      <w:pPr>
        <w:pStyle w:val="ListParagraph"/>
        <w:spacing w:line="360" w:lineRule="auto"/>
        <w:ind w:left="0"/>
        <w:jc w:val="both"/>
        <w:rPr>
          <w:rFonts w:ascii="Arial" w:hAnsi="Arial" w:cs="Arial"/>
          <w:sz w:val="24"/>
          <w:szCs w:val="24"/>
        </w:rPr>
      </w:pPr>
      <w:r>
        <w:rPr>
          <w:rFonts w:ascii="Arial" w:hAnsi="Arial" w:cs="Arial"/>
          <w:sz w:val="24"/>
          <w:szCs w:val="24"/>
        </w:rPr>
        <w:t>Like many other techniques, such as polygraphs and profiling, SCAN is an investigative tool, which can be useful to focus the investigation or interview. However, the results are not legally admissible as evidence.</w:t>
      </w:r>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08706D" w:rsidRDefault="0008706D" w:rsidP="00CB4D0A">
      <w:pPr>
        <w:spacing w:after="0" w:line="240" w:lineRule="auto"/>
      </w:pPr>
      <w:r>
        <w:separator/>
      </w:r>
    </w:p>
  </w:endnote>
  <w:endnote w:type="continuationSeparator" w:id="0">
    <w:p w14:paraId="1C5767CA" w14:textId="77777777" w:rsidR="0008706D" w:rsidRDefault="000870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08706D" w:rsidRDefault="0008706D" w:rsidP="00CB4D0A">
      <w:pPr>
        <w:spacing w:after="0" w:line="240" w:lineRule="auto"/>
      </w:pPr>
      <w:r>
        <w:separator/>
      </w:r>
    </w:p>
  </w:footnote>
  <w:footnote w:type="continuationSeparator" w:id="0">
    <w:p w14:paraId="6B1E70EB" w14:textId="77777777" w:rsidR="0008706D" w:rsidRDefault="0008706D"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08706D" w:rsidRDefault="0008706D"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08706D" w:rsidRDefault="0008706D"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08706D" w:rsidRDefault="0008706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08706D" w:rsidRPr="005334E2" w:rsidRDefault="0008706D" w:rsidP="007F50FB">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694DBC">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694DBC">
      <w:rPr>
        <w:rStyle w:val="PageNumber"/>
        <w:rFonts w:ascii="Arial" w:hAnsi="Arial" w:cs="Arial"/>
        <w:b/>
        <w:noProof/>
        <w:sz w:val="24"/>
        <w:szCs w:val="24"/>
      </w:rPr>
      <w:t>6</w:t>
    </w:r>
    <w:r w:rsidRPr="005334E2">
      <w:rPr>
        <w:rStyle w:val="PageNumber"/>
        <w:rFonts w:ascii="Arial" w:hAnsi="Arial" w:cs="Arial"/>
        <w:b/>
        <w:sz w:val="24"/>
        <w:szCs w:val="24"/>
      </w:rPr>
      <w:fldChar w:fldCharType="end"/>
    </w:r>
  </w:p>
  <w:p w14:paraId="14DCB965" w14:textId="30597F00" w:rsidR="0008706D" w:rsidRDefault="0008706D" w:rsidP="005334E2">
    <w:pPr>
      <w:pStyle w:val="Header"/>
      <w:ind w:right="360"/>
    </w:pPr>
    <w:r>
      <w:rPr>
        <w:rFonts w:ascii="Arial" w:hAnsi="Arial" w:cs="Arial"/>
        <w:b/>
        <w:sz w:val="24"/>
        <w:szCs w:val="24"/>
      </w:rPr>
      <w:tab/>
      <w:t>Christine Hutton – ID 1566 – Assignment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41C5F63"/>
    <w:multiLevelType w:val="hybridMultilevel"/>
    <w:tmpl w:val="6BC03238"/>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
    <w:nsid w:val="070570D5"/>
    <w:multiLevelType w:val="hybridMultilevel"/>
    <w:tmpl w:val="EBE676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A09E8"/>
    <w:multiLevelType w:val="hybridMultilevel"/>
    <w:tmpl w:val="78FA8130"/>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
    <w:nsid w:val="10793011"/>
    <w:multiLevelType w:val="hybridMultilevel"/>
    <w:tmpl w:val="6C38F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A008BE"/>
    <w:multiLevelType w:val="hybridMultilevel"/>
    <w:tmpl w:val="3696768E"/>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5">
    <w:nsid w:val="13D87562"/>
    <w:multiLevelType w:val="hybridMultilevel"/>
    <w:tmpl w:val="E39C62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7D3C88"/>
    <w:multiLevelType w:val="hybridMultilevel"/>
    <w:tmpl w:val="E596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3D72FF"/>
    <w:multiLevelType w:val="hybridMultilevel"/>
    <w:tmpl w:val="03041992"/>
    <w:lvl w:ilvl="0" w:tplc="04090017">
      <w:start w:val="1"/>
      <w:numFmt w:val="lowerLetter"/>
      <w:lvlText w:val="%1)"/>
      <w:lvlJc w:val="left"/>
      <w:pPr>
        <w:ind w:left="917" w:hanging="360"/>
      </w:p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9">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667035"/>
    <w:multiLevelType w:val="hybridMultilevel"/>
    <w:tmpl w:val="050859C2"/>
    <w:lvl w:ilvl="0" w:tplc="0409000F">
      <w:start w:val="1"/>
      <w:numFmt w:val="decimal"/>
      <w:lvlText w:val="%1."/>
      <w:lvlJc w:val="left"/>
      <w:pPr>
        <w:ind w:left="856"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11">
    <w:nsid w:val="44D136F9"/>
    <w:multiLevelType w:val="hybridMultilevel"/>
    <w:tmpl w:val="475626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F758F4"/>
    <w:multiLevelType w:val="hybridMultilevel"/>
    <w:tmpl w:val="923A308C"/>
    <w:lvl w:ilvl="0" w:tplc="0409001B">
      <w:start w:val="1"/>
      <w:numFmt w:val="lowerRoman"/>
      <w:lvlText w:val="%1."/>
      <w:lvlJc w:val="right"/>
      <w:pPr>
        <w:ind w:left="854" w:hanging="360"/>
      </w:p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14">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67386E"/>
    <w:multiLevelType w:val="hybridMultilevel"/>
    <w:tmpl w:val="05CEEB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C560BF"/>
    <w:multiLevelType w:val="hybridMultilevel"/>
    <w:tmpl w:val="BB10F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354F11"/>
    <w:multiLevelType w:val="hybridMultilevel"/>
    <w:tmpl w:val="29748E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4A492D"/>
    <w:multiLevelType w:val="hybridMultilevel"/>
    <w:tmpl w:val="FDC636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2A374C"/>
    <w:multiLevelType w:val="hybridMultilevel"/>
    <w:tmpl w:val="3CEEC0FE"/>
    <w:lvl w:ilvl="0" w:tplc="04090001">
      <w:start w:val="1"/>
      <w:numFmt w:val="bullet"/>
      <w:lvlText w:val=""/>
      <w:lvlJc w:val="left"/>
      <w:pPr>
        <w:ind w:left="1614" w:hanging="360"/>
      </w:pPr>
      <w:rPr>
        <w:rFonts w:ascii="Symbol" w:hAnsi="Symbol" w:hint="default"/>
      </w:rPr>
    </w:lvl>
    <w:lvl w:ilvl="1" w:tplc="04090003" w:tentative="1">
      <w:start w:val="1"/>
      <w:numFmt w:val="bullet"/>
      <w:lvlText w:val="o"/>
      <w:lvlJc w:val="left"/>
      <w:pPr>
        <w:ind w:left="2334" w:hanging="360"/>
      </w:pPr>
      <w:rPr>
        <w:rFonts w:ascii="Courier New" w:hAnsi="Courier New" w:hint="default"/>
      </w:rPr>
    </w:lvl>
    <w:lvl w:ilvl="2" w:tplc="04090005" w:tentative="1">
      <w:start w:val="1"/>
      <w:numFmt w:val="bullet"/>
      <w:lvlText w:val=""/>
      <w:lvlJc w:val="left"/>
      <w:pPr>
        <w:ind w:left="3054" w:hanging="360"/>
      </w:pPr>
      <w:rPr>
        <w:rFonts w:ascii="Wingdings" w:hAnsi="Wingdings" w:hint="default"/>
      </w:rPr>
    </w:lvl>
    <w:lvl w:ilvl="3" w:tplc="04090001" w:tentative="1">
      <w:start w:val="1"/>
      <w:numFmt w:val="bullet"/>
      <w:lvlText w:val=""/>
      <w:lvlJc w:val="left"/>
      <w:pPr>
        <w:ind w:left="3774" w:hanging="360"/>
      </w:pPr>
      <w:rPr>
        <w:rFonts w:ascii="Symbol" w:hAnsi="Symbol" w:hint="default"/>
      </w:rPr>
    </w:lvl>
    <w:lvl w:ilvl="4" w:tplc="04090003" w:tentative="1">
      <w:start w:val="1"/>
      <w:numFmt w:val="bullet"/>
      <w:lvlText w:val="o"/>
      <w:lvlJc w:val="left"/>
      <w:pPr>
        <w:ind w:left="4494" w:hanging="360"/>
      </w:pPr>
      <w:rPr>
        <w:rFonts w:ascii="Courier New" w:hAnsi="Courier New" w:hint="default"/>
      </w:rPr>
    </w:lvl>
    <w:lvl w:ilvl="5" w:tplc="04090005" w:tentative="1">
      <w:start w:val="1"/>
      <w:numFmt w:val="bullet"/>
      <w:lvlText w:val=""/>
      <w:lvlJc w:val="left"/>
      <w:pPr>
        <w:ind w:left="5214" w:hanging="360"/>
      </w:pPr>
      <w:rPr>
        <w:rFonts w:ascii="Wingdings" w:hAnsi="Wingdings" w:hint="default"/>
      </w:rPr>
    </w:lvl>
    <w:lvl w:ilvl="6" w:tplc="04090001" w:tentative="1">
      <w:start w:val="1"/>
      <w:numFmt w:val="bullet"/>
      <w:lvlText w:val=""/>
      <w:lvlJc w:val="left"/>
      <w:pPr>
        <w:ind w:left="5934" w:hanging="360"/>
      </w:pPr>
      <w:rPr>
        <w:rFonts w:ascii="Symbol" w:hAnsi="Symbol" w:hint="default"/>
      </w:rPr>
    </w:lvl>
    <w:lvl w:ilvl="7" w:tplc="04090003" w:tentative="1">
      <w:start w:val="1"/>
      <w:numFmt w:val="bullet"/>
      <w:lvlText w:val="o"/>
      <w:lvlJc w:val="left"/>
      <w:pPr>
        <w:ind w:left="6654" w:hanging="360"/>
      </w:pPr>
      <w:rPr>
        <w:rFonts w:ascii="Courier New" w:hAnsi="Courier New" w:hint="default"/>
      </w:rPr>
    </w:lvl>
    <w:lvl w:ilvl="8" w:tplc="04090005" w:tentative="1">
      <w:start w:val="1"/>
      <w:numFmt w:val="bullet"/>
      <w:lvlText w:val=""/>
      <w:lvlJc w:val="left"/>
      <w:pPr>
        <w:ind w:left="7374" w:hanging="360"/>
      </w:pPr>
      <w:rPr>
        <w:rFonts w:ascii="Wingdings" w:hAnsi="Wingdings" w:hint="default"/>
      </w:rPr>
    </w:lvl>
  </w:abstractNum>
  <w:abstractNum w:abstractNumId="21">
    <w:nsid w:val="71F46301"/>
    <w:multiLevelType w:val="hybridMultilevel"/>
    <w:tmpl w:val="AC769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876D87"/>
    <w:multiLevelType w:val="hybridMultilevel"/>
    <w:tmpl w:val="57B2C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EE5D12"/>
    <w:multiLevelType w:val="hybridMultilevel"/>
    <w:tmpl w:val="738A13E0"/>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24">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6"/>
  </w:num>
  <w:num w:numId="4">
    <w:abstractNumId w:val="24"/>
  </w:num>
  <w:num w:numId="5">
    <w:abstractNumId w:val="6"/>
  </w:num>
  <w:num w:numId="6">
    <w:abstractNumId w:val="14"/>
  </w:num>
  <w:num w:numId="7">
    <w:abstractNumId w:val="22"/>
  </w:num>
  <w:num w:numId="8">
    <w:abstractNumId w:val="7"/>
  </w:num>
  <w:num w:numId="9">
    <w:abstractNumId w:val="21"/>
  </w:num>
  <w:num w:numId="10">
    <w:abstractNumId w:val="10"/>
  </w:num>
  <w:num w:numId="11">
    <w:abstractNumId w:val="11"/>
  </w:num>
  <w:num w:numId="12">
    <w:abstractNumId w:val="23"/>
  </w:num>
  <w:num w:numId="13">
    <w:abstractNumId w:val="8"/>
  </w:num>
  <w:num w:numId="14">
    <w:abstractNumId w:val="2"/>
  </w:num>
  <w:num w:numId="15">
    <w:abstractNumId w:val="0"/>
  </w:num>
  <w:num w:numId="16">
    <w:abstractNumId w:val="17"/>
  </w:num>
  <w:num w:numId="17">
    <w:abstractNumId w:val="4"/>
  </w:num>
  <w:num w:numId="18">
    <w:abstractNumId w:val="18"/>
  </w:num>
  <w:num w:numId="19">
    <w:abstractNumId w:val="15"/>
  </w:num>
  <w:num w:numId="20">
    <w:abstractNumId w:val="19"/>
  </w:num>
  <w:num w:numId="21">
    <w:abstractNumId w:val="5"/>
  </w:num>
  <w:num w:numId="22">
    <w:abstractNumId w:val="3"/>
  </w:num>
  <w:num w:numId="23">
    <w:abstractNumId w:val="20"/>
  </w:num>
  <w:num w:numId="24">
    <w:abstractNumId w:val="1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C63"/>
    <w:rsid w:val="00035CDD"/>
    <w:rsid w:val="00040083"/>
    <w:rsid w:val="00055992"/>
    <w:rsid w:val="00056130"/>
    <w:rsid w:val="000820E8"/>
    <w:rsid w:val="0008706D"/>
    <w:rsid w:val="000A3F86"/>
    <w:rsid w:val="000B4757"/>
    <w:rsid w:val="001109D5"/>
    <w:rsid w:val="001175EE"/>
    <w:rsid w:val="00134E8E"/>
    <w:rsid w:val="00135BC6"/>
    <w:rsid w:val="0014305A"/>
    <w:rsid w:val="001571B3"/>
    <w:rsid w:val="00157CF6"/>
    <w:rsid w:val="0016673F"/>
    <w:rsid w:val="00167BC6"/>
    <w:rsid w:val="00182416"/>
    <w:rsid w:val="0018344B"/>
    <w:rsid w:val="00185359"/>
    <w:rsid w:val="00187EB4"/>
    <w:rsid w:val="001B5973"/>
    <w:rsid w:val="001D3D96"/>
    <w:rsid w:val="001E5F5C"/>
    <w:rsid w:val="001F0481"/>
    <w:rsid w:val="001F2250"/>
    <w:rsid w:val="00200C92"/>
    <w:rsid w:val="0020451E"/>
    <w:rsid w:val="00206B9D"/>
    <w:rsid w:val="0023259C"/>
    <w:rsid w:val="00235550"/>
    <w:rsid w:val="00240345"/>
    <w:rsid w:val="00243731"/>
    <w:rsid w:val="00270BBD"/>
    <w:rsid w:val="00284B86"/>
    <w:rsid w:val="002B0BD7"/>
    <w:rsid w:val="002B573D"/>
    <w:rsid w:val="002C5CB2"/>
    <w:rsid w:val="002E6DAB"/>
    <w:rsid w:val="002F779F"/>
    <w:rsid w:val="0036396E"/>
    <w:rsid w:val="00371885"/>
    <w:rsid w:val="00381763"/>
    <w:rsid w:val="00394F41"/>
    <w:rsid w:val="003E2B87"/>
    <w:rsid w:val="003E5B71"/>
    <w:rsid w:val="00402786"/>
    <w:rsid w:val="00405895"/>
    <w:rsid w:val="004058DF"/>
    <w:rsid w:val="00406CF1"/>
    <w:rsid w:val="004355CF"/>
    <w:rsid w:val="00443E6F"/>
    <w:rsid w:val="00486F1A"/>
    <w:rsid w:val="00490CB9"/>
    <w:rsid w:val="004A2CE2"/>
    <w:rsid w:val="004A45B9"/>
    <w:rsid w:val="004C16D0"/>
    <w:rsid w:val="004D75FF"/>
    <w:rsid w:val="004E3CDA"/>
    <w:rsid w:val="004F18A6"/>
    <w:rsid w:val="004F4B4D"/>
    <w:rsid w:val="004F67CC"/>
    <w:rsid w:val="0050216D"/>
    <w:rsid w:val="00503D7E"/>
    <w:rsid w:val="0050778F"/>
    <w:rsid w:val="005130C4"/>
    <w:rsid w:val="00527C11"/>
    <w:rsid w:val="005334E2"/>
    <w:rsid w:val="00535F31"/>
    <w:rsid w:val="00574D64"/>
    <w:rsid w:val="00591365"/>
    <w:rsid w:val="005B31E4"/>
    <w:rsid w:val="005B4E75"/>
    <w:rsid w:val="005D37B3"/>
    <w:rsid w:val="006034F6"/>
    <w:rsid w:val="00607874"/>
    <w:rsid w:val="00607E77"/>
    <w:rsid w:val="00617BB3"/>
    <w:rsid w:val="00621D18"/>
    <w:rsid w:val="00630855"/>
    <w:rsid w:val="00635515"/>
    <w:rsid w:val="00636875"/>
    <w:rsid w:val="00637878"/>
    <w:rsid w:val="00645CDD"/>
    <w:rsid w:val="00681425"/>
    <w:rsid w:val="00681572"/>
    <w:rsid w:val="006823A7"/>
    <w:rsid w:val="00687EE8"/>
    <w:rsid w:val="006924C5"/>
    <w:rsid w:val="00694DBC"/>
    <w:rsid w:val="006F08A2"/>
    <w:rsid w:val="0070347F"/>
    <w:rsid w:val="0070678E"/>
    <w:rsid w:val="007119D7"/>
    <w:rsid w:val="00747F17"/>
    <w:rsid w:val="00762F76"/>
    <w:rsid w:val="00772DB3"/>
    <w:rsid w:val="00786362"/>
    <w:rsid w:val="007942C1"/>
    <w:rsid w:val="007B4486"/>
    <w:rsid w:val="007C0DEC"/>
    <w:rsid w:val="007F2FD3"/>
    <w:rsid w:val="007F41AC"/>
    <w:rsid w:val="007F50FB"/>
    <w:rsid w:val="00810113"/>
    <w:rsid w:val="00817F89"/>
    <w:rsid w:val="008251F6"/>
    <w:rsid w:val="00830D58"/>
    <w:rsid w:val="00831C11"/>
    <w:rsid w:val="008376D5"/>
    <w:rsid w:val="008619F3"/>
    <w:rsid w:val="0086615E"/>
    <w:rsid w:val="008770BA"/>
    <w:rsid w:val="0088013A"/>
    <w:rsid w:val="00892A74"/>
    <w:rsid w:val="00893311"/>
    <w:rsid w:val="008A2CA7"/>
    <w:rsid w:val="008A5651"/>
    <w:rsid w:val="008A60B4"/>
    <w:rsid w:val="008B3C31"/>
    <w:rsid w:val="008B4614"/>
    <w:rsid w:val="008B64FE"/>
    <w:rsid w:val="008C15B7"/>
    <w:rsid w:val="008D404B"/>
    <w:rsid w:val="0091553F"/>
    <w:rsid w:val="00926F65"/>
    <w:rsid w:val="00930D26"/>
    <w:rsid w:val="00935AC5"/>
    <w:rsid w:val="00935BF7"/>
    <w:rsid w:val="00951558"/>
    <w:rsid w:val="0095442C"/>
    <w:rsid w:val="00983942"/>
    <w:rsid w:val="00986C1F"/>
    <w:rsid w:val="009A454E"/>
    <w:rsid w:val="009C37E0"/>
    <w:rsid w:val="009E41F4"/>
    <w:rsid w:val="00A13263"/>
    <w:rsid w:val="00A14B66"/>
    <w:rsid w:val="00A55C87"/>
    <w:rsid w:val="00A65CF7"/>
    <w:rsid w:val="00A723EF"/>
    <w:rsid w:val="00A8097F"/>
    <w:rsid w:val="00A81AB4"/>
    <w:rsid w:val="00A851DA"/>
    <w:rsid w:val="00A93F88"/>
    <w:rsid w:val="00AA4684"/>
    <w:rsid w:val="00AA4961"/>
    <w:rsid w:val="00AC1F1C"/>
    <w:rsid w:val="00AC2B57"/>
    <w:rsid w:val="00AC7D5B"/>
    <w:rsid w:val="00AD1C4F"/>
    <w:rsid w:val="00AE1481"/>
    <w:rsid w:val="00AE29DD"/>
    <w:rsid w:val="00AE6EDF"/>
    <w:rsid w:val="00B0415E"/>
    <w:rsid w:val="00B04678"/>
    <w:rsid w:val="00B06626"/>
    <w:rsid w:val="00B25786"/>
    <w:rsid w:val="00B5637D"/>
    <w:rsid w:val="00B628F2"/>
    <w:rsid w:val="00B658E6"/>
    <w:rsid w:val="00BC46DF"/>
    <w:rsid w:val="00C03577"/>
    <w:rsid w:val="00C16845"/>
    <w:rsid w:val="00C2311F"/>
    <w:rsid w:val="00C45339"/>
    <w:rsid w:val="00C53029"/>
    <w:rsid w:val="00C56CC1"/>
    <w:rsid w:val="00C65FEA"/>
    <w:rsid w:val="00CA0AC2"/>
    <w:rsid w:val="00CB4D0A"/>
    <w:rsid w:val="00CC2FB3"/>
    <w:rsid w:val="00CC575A"/>
    <w:rsid w:val="00CD4EBD"/>
    <w:rsid w:val="00CF123B"/>
    <w:rsid w:val="00D039AC"/>
    <w:rsid w:val="00D427DE"/>
    <w:rsid w:val="00D453D2"/>
    <w:rsid w:val="00D5587D"/>
    <w:rsid w:val="00D707CC"/>
    <w:rsid w:val="00D73BD0"/>
    <w:rsid w:val="00D821FE"/>
    <w:rsid w:val="00D86D67"/>
    <w:rsid w:val="00DB0793"/>
    <w:rsid w:val="00DE1698"/>
    <w:rsid w:val="00DE6FDB"/>
    <w:rsid w:val="00DF638C"/>
    <w:rsid w:val="00E00821"/>
    <w:rsid w:val="00E04DB4"/>
    <w:rsid w:val="00E26CF1"/>
    <w:rsid w:val="00E30679"/>
    <w:rsid w:val="00E4597D"/>
    <w:rsid w:val="00E5280E"/>
    <w:rsid w:val="00E54832"/>
    <w:rsid w:val="00E56A90"/>
    <w:rsid w:val="00E641CC"/>
    <w:rsid w:val="00E663F6"/>
    <w:rsid w:val="00EA30AB"/>
    <w:rsid w:val="00EB3925"/>
    <w:rsid w:val="00F01256"/>
    <w:rsid w:val="00F41DC6"/>
    <w:rsid w:val="00F50B50"/>
    <w:rsid w:val="00F63889"/>
    <w:rsid w:val="00F8639C"/>
    <w:rsid w:val="00F96EB3"/>
    <w:rsid w:val="00FB1FC7"/>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 w:type="paragraph" w:styleId="NoSpacing">
    <w:name w:val="No Spacing"/>
    <w:uiPriority w:val="1"/>
    <w:qFormat/>
    <w:rsid w:val="001B5973"/>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052CA4"/>
    <w:rsid w:val="00086E11"/>
    <w:rsid w:val="001953E0"/>
    <w:rsid w:val="001C0D52"/>
    <w:rsid w:val="0024188B"/>
    <w:rsid w:val="00302AE2"/>
    <w:rsid w:val="006726E1"/>
    <w:rsid w:val="006B4E87"/>
    <w:rsid w:val="0075659D"/>
    <w:rsid w:val="00817968"/>
    <w:rsid w:val="00951037"/>
    <w:rsid w:val="00987A17"/>
    <w:rsid w:val="009D3EAF"/>
    <w:rsid w:val="00A56A75"/>
    <w:rsid w:val="00BA18C2"/>
    <w:rsid w:val="00FB3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084D6-4941-E54F-9B8C-D96FD9E51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6</Pages>
  <Words>1824</Words>
  <Characters>10402</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13</cp:revision>
  <dcterms:created xsi:type="dcterms:W3CDTF">2015-11-14T09:24:00Z</dcterms:created>
  <dcterms:modified xsi:type="dcterms:W3CDTF">2015-11-19T10:07:00Z</dcterms:modified>
</cp:coreProperties>
</file>