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5670">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01BCB" w:rsidRDefault="00101BCB" w:rsidP="00101BCB">
            <w:pPr>
              <w:pStyle w:val="NoSpacing"/>
            </w:pPr>
            <w:r>
              <w:t>Q1</w:t>
            </w:r>
          </w:p>
          <w:p w:rsidR="00101BCB" w:rsidRDefault="00101BCB" w:rsidP="00101BCB">
            <w:pPr>
              <w:pStyle w:val="NoSpacing"/>
              <w:numPr>
                <w:ilvl w:val="0"/>
                <w:numId w:val="30"/>
              </w:numPr>
            </w:pPr>
            <w:r>
              <w:t>Fraud risk assessment depends on the following investigator’s knowledge of:</w:t>
            </w:r>
          </w:p>
          <w:p w:rsidR="00101BCB" w:rsidRDefault="00101BCB" w:rsidP="00101BCB">
            <w:pPr>
              <w:pStyle w:val="NoSpacing"/>
              <w:numPr>
                <w:ilvl w:val="0"/>
                <w:numId w:val="31"/>
              </w:numPr>
            </w:pPr>
            <w:r>
              <w:t>Fraud Indicators</w:t>
            </w:r>
          </w:p>
          <w:p w:rsidR="00101BCB" w:rsidRDefault="00101BCB" w:rsidP="00101BCB">
            <w:pPr>
              <w:pStyle w:val="NoSpacing"/>
              <w:numPr>
                <w:ilvl w:val="0"/>
                <w:numId w:val="31"/>
              </w:numPr>
            </w:pPr>
            <w:r>
              <w:t>Fraud Triangle</w:t>
            </w:r>
          </w:p>
          <w:p w:rsidR="00101BCB" w:rsidRDefault="00101BCB" w:rsidP="00101BCB">
            <w:pPr>
              <w:pStyle w:val="NoSpacing"/>
              <w:numPr>
                <w:ilvl w:val="0"/>
                <w:numId w:val="31"/>
              </w:numPr>
            </w:pPr>
            <w:r>
              <w:t>Fraud schemes</w:t>
            </w:r>
          </w:p>
          <w:p w:rsidR="00101BCB" w:rsidRDefault="00101BCB" w:rsidP="00101BCB">
            <w:pPr>
              <w:pStyle w:val="NoSpacing"/>
              <w:numPr>
                <w:ilvl w:val="0"/>
                <w:numId w:val="31"/>
              </w:numPr>
            </w:pPr>
            <w:r>
              <w:t>Accounting Information system</w:t>
            </w:r>
          </w:p>
          <w:p w:rsidR="00101BCB" w:rsidRDefault="00101BCB" w:rsidP="00101BCB">
            <w:pPr>
              <w:pStyle w:val="NoSpacing"/>
              <w:numPr>
                <w:ilvl w:val="0"/>
                <w:numId w:val="31"/>
              </w:numPr>
            </w:pPr>
            <w:r>
              <w:t>An understanding of fraud environment.</w:t>
            </w:r>
          </w:p>
          <w:p w:rsidR="00101BCB" w:rsidRDefault="00101BCB" w:rsidP="00101BCB">
            <w:pPr>
              <w:pStyle w:val="NoSpacing"/>
              <w:numPr>
                <w:ilvl w:val="0"/>
                <w:numId w:val="30"/>
              </w:numPr>
            </w:pPr>
            <w:r>
              <w:t>The main concepts of risk assessment are Probability (the likelihood of an event occurring) and Impact (the magnitude of the event).</w:t>
            </w:r>
          </w:p>
          <w:p w:rsidR="00101BCB" w:rsidRDefault="00101BCB" w:rsidP="00101BCB">
            <w:pPr>
              <w:pStyle w:val="NoSpacing"/>
              <w:numPr>
                <w:ilvl w:val="0"/>
                <w:numId w:val="30"/>
              </w:numPr>
            </w:pPr>
            <w:r>
              <w:t>Internal Factors that should be considered for fraud risk assessment are:</w:t>
            </w:r>
          </w:p>
          <w:p w:rsidR="00101BCB" w:rsidRDefault="00101BCB" w:rsidP="00101BCB">
            <w:pPr>
              <w:pStyle w:val="NoSpacing"/>
              <w:numPr>
                <w:ilvl w:val="0"/>
                <w:numId w:val="32"/>
              </w:numPr>
            </w:pPr>
            <w:r>
              <w:t>Lack of clarity of job roles. Duties and responsibility</w:t>
            </w:r>
          </w:p>
          <w:p w:rsidR="00101BCB" w:rsidRDefault="00101BCB" w:rsidP="00101BCB">
            <w:pPr>
              <w:pStyle w:val="NoSpacing"/>
              <w:numPr>
                <w:ilvl w:val="0"/>
                <w:numId w:val="32"/>
              </w:numPr>
            </w:pPr>
            <w:r>
              <w:t>Absence of a culture that encourages honesty</w:t>
            </w:r>
          </w:p>
          <w:p w:rsidR="00101BCB" w:rsidRDefault="00101BCB" w:rsidP="00101BCB">
            <w:pPr>
              <w:pStyle w:val="NoSpacing"/>
              <w:numPr>
                <w:ilvl w:val="0"/>
                <w:numId w:val="32"/>
              </w:numPr>
            </w:pPr>
            <w:r>
              <w:t>Inadequate ethical and fraud related training</w:t>
            </w:r>
          </w:p>
          <w:p w:rsidR="00101BCB" w:rsidRDefault="00101BCB" w:rsidP="00101BCB">
            <w:pPr>
              <w:pStyle w:val="NoSpacing"/>
              <w:numPr>
                <w:ilvl w:val="0"/>
                <w:numId w:val="32"/>
              </w:numPr>
            </w:pPr>
            <w:r>
              <w:t>Irregular audit</w:t>
            </w:r>
          </w:p>
          <w:p w:rsidR="00101BCB" w:rsidRDefault="00101BCB" w:rsidP="00101BCB">
            <w:pPr>
              <w:pStyle w:val="NoSpacing"/>
              <w:numPr>
                <w:ilvl w:val="0"/>
                <w:numId w:val="32"/>
              </w:numPr>
            </w:pPr>
            <w:r>
              <w:t>Strong internal control systems</w:t>
            </w:r>
          </w:p>
          <w:p w:rsidR="00101BCB" w:rsidRDefault="00101BCB" w:rsidP="00101BCB">
            <w:pPr>
              <w:pStyle w:val="NoSpacing"/>
              <w:numPr>
                <w:ilvl w:val="0"/>
                <w:numId w:val="32"/>
              </w:numPr>
            </w:pPr>
            <w:r>
              <w:t xml:space="preserve">Monitoring the compliance of organizational goals, policies and procedures </w:t>
            </w:r>
          </w:p>
          <w:p w:rsidR="00101BCB" w:rsidRDefault="00101BCB" w:rsidP="00101BCB">
            <w:pPr>
              <w:pStyle w:val="NoSpacing"/>
              <w:numPr>
                <w:ilvl w:val="0"/>
                <w:numId w:val="30"/>
              </w:numPr>
            </w:pPr>
            <w:r>
              <w:t>Inherent Risk is one risk that measures the assessment of the likelihood that there are material misstatements due to error or fraud in segment before considering the effectiveness of internal control.</w:t>
            </w:r>
          </w:p>
          <w:p w:rsidR="00101BCB" w:rsidRDefault="00101BCB" w:rsidP="00101BCB">
            <w:pPr>
              <w:pStyle w:val="NoSpacing"/>
              <w:numPr>
                <w:ilvl w:val="0"/>
                <w:numId w:val="30"/>
              </w:numPr>
            </w:pPr>
            <w:r>
              <w:t>Residual risk is simply a threat that remains after an organization has implemented security controls to comply with legal requirements.</w:t>
            </w:r>
          </w:p>
          <w:p w:rsidR="00101BCB" w:rsidRDefault="00101BCB" w:rsidP="00101BCB">
            <w:pPr>
              <w:pStyle w:val="NoSpacing"/>
            </w:pPr>
          </w:p>
          <w:p w:rsidR="00101BCB" w:rsidRDefault="00101BCB" w:rsidP="00101BCB">
            <w:pPr>
              <w:pStyle w:val="NoSpacing"/>
            </w:pPr>
            <w:r>
              <w:t xml:space="preserve">Q2.  </w:t>
            </w:r>
          </w:p>
          <w:p w:rsidR="00101BCB" w:rsidRDefault="00101BCB" w:rsidP="00101BCB">
            <w:pPr>
              <w:pStyle w:val="NoSpacing"/>
            </w:pPr>
            <w:r>
              <w:t>PEMAY CONSTRUCTION</w:t>
            </w:r>
          </w:p>
          <w:p w:rsidR="00101BCB" w:rsidRDefault="00101BCB" w:rsidP="00101BCB">
            <w:pPr>
              <w:pStyle w:val="NoSpacing"/>
            </w:pPr>
            <w:r>
              <w:t>FRAUD RISK ASSESSMENT FORM</w:t>
            </w:r>
          </w:p>
          <w:tbl>
            <w:tblPr>
              <w:tblStyle w:val="TableGrid"/>
              <w:tblW w:w="9021" w:type="dxa"/>
              <w:tblLook w:val="04A0" w:firstRow="1" w:lastRow="0" w:firstColumn="1" w:lastColumn="0" w:noHBand="0" w:noVBand="1"/>
            </w:tblPr>
            <w:tblGrid>
              <w:gridCol w:w="1628"/>
              <w:gridCol w:w="1046"/>
              <w:gridCol w:w="1172"/>
              <w:gridCol w:w="1204"/>
              <w:gridCol w:w="797"/>
              <w:gridCol w:w="1185"/>
              <w:gridCol w:w="836"/>
              <w:gridCol w:w="738"/>
              <w:gridCol w:w="184"/>
            </w:tblGrid>
            <w:tr w:rsidR="00101BCB" w:rsidTr="00101BCB">
              <w:trPr>
                <w:trHeight w:val="1277"/>
              </w:trPr>
              <w:tc>
                <w:tcPr>
                  <w:tcW w:w="1597" w:type="dxa"/>
                </w:tcPr>
                <w:p w:rsidR="00101BCB" w:rsidRDefault="00101BCB" w:rsidP="00101BCB">
                  <w:pPr>
                    <w:pStyle w:val="NoSpacing"/>
                  </w:pPr>
                  <w:r>
                    <w:lastRenderedPageBreak/>
                    <w:t>Identified Fraud Risk</w:t>
                  </w:r>
                </w:p>
              </w:tc>
              <w:tc>
                <w:tcPr>
                  <w:tcW w:w="1263" w:type="dxa"/>
                </w:tcPr>
                <w:p w:rsidR="00101BCB" w:rsidRDefault="00101BCB" w:rsidP="00101BCB">
                  <w:pPr>
                    <w:pStyle w:val="NoSpacing"/>
                  </w:pPr>
                  <w:r>
                    <w:t>Likelihood</w:t>
                  </w:r>
                </w:p>
              </w:tc>
              <w:tc>
                <w:tcPr>
                  <w:tcW w:w="1176" w:type="dxa"/>
                </w:tcPr>
                <w:p w:rsidR="00101BCB" w:rsidRDefault="00101BCB" w:rsidP="00101BCB">
                  <w:pPr>
                    <w:pStyle w:val="NoSpacing"/>
                  </w:pPr>
                  <w:r>
                    <w:t>Significance</w:t>
                  </w:r>
                </w:p>
              </w:tc>
              <w:tc>
                <w:tcPr>
                  <w:tcW w:w="1207" w:type="dxa"/>
                </w:tcPr>
                <w:p w:rsidR="00101BCB" w:rsidRDefault="00101BCB" w:rsidP="00101BCB">
                  <w:pPr>
                    <w:pStyle w:val="NoSpacing"/>
                  </w:pPr>
                  <w:r>
                    <w:t>Department</w:t>
                  </w:r>
                </w:p>
              </w:tc>
              <w:tc>
                <w:tcPr>
                  <w:tcW w:w="810" w:type="dxa"/>
                </w:tcPr>
                <w:p w:rsidR="00101BCB" w:rsidRDefault="00101BCB" w:rsidP="00101BCB">
                  <w:pPr>
                    <w:pStyle w:val="NoSpacing"/>
                  </w:pPr>
                  <w:r w:rsidRPr="005A175B">
                    <w:rPr>
                      <w:sz w:val="20"/>
                      <w:szCs w:val="20"/>
                    </w:rPr>
                    <w:t>Existing</w:t>
                  </w:r>
                  <w:r>
                    <w:t xml:space="preserve"> Anti-fraud control</w:t>
                  </w:r>
                </w:p>
              </w:tc>
              <w:tc>
                <w:tcPr>
                  <w:tcW w:w="1188" w:type="dxa"/>
                </w:tcPr>
                <w:p w:rsidR="00101BCB" w:rsidRDefault="00101BCB" w:rsidP="00101BCB">
                  <w:pPr>
                    <w:pStyle w:val="NoSpacing"/>
                  </w:pPr>
                  <w:r>
                    <w:t xml:space="preserve">Controls </w:t>
                  </w:r>
                  <w:r w:rsidRPr="00F003A6">
                    <w:rPr>
                      <w:sz w:val="20"/>
                      <w:szCs w:val="20"/>
                    </w:rPr>
                    <w:t xml:space="preserve">effectiveness </w:t>
                  </w:r>
                  <w:r>
                    <w:t>assessment</w:t>
                  </w:r>
                </w:p>
              </w:tc>
              <w:tc>
                <w:tcPr>
                  <w:tcW w:w="848" w:type="dxa"/>
                </w:tcPr>
                <w:p w:rsidR="00101BCB" w:rsidRDefault="00101BCB" w:rsidP="00101BCB">
                  <w:pPr>
                    <w:pStyle w:val="NoSpacing"/>
                  </w:pPr>
                  <w:r w:rsidRPr="00F003A6">
                    <w:rPr>
                      <w:sz w:val="20"/>
                      <w:szCs w:val="20"/>
                    </w:rPr>
                    <w:t>Residual</w:t>
                  </w:r>
                  <w:r>
                    <w:t xml:space="preserve"> Risk</w:t>
                  </w:r>
                </w:p>
              </w:tc>
              <w:tc>
                <w:tcPr>
                  <w:tcW w:w="932" w:type="dxa"/>
                  <w:gridSpan w:val="2"/>
                </w:tcPr>
                <w:p w:rsidR="00101BCB" w:rsidRDefault="00101BCB" w:rsidP="00101BCB">
                  <w:pPr>
                    <w:pStyle w:val="NoSpacing"/>
                  </w:pPr>
                  <w:r>
                    <w:t xml:space="preserve">Fraud Risk </w:t>
                  </w:r>
                  <w:r w:rsidRPr="00F003A6">
                    <w:rPr>
                      <w:sz w:val="20"/>
                      <w:szCs w:val="20"/>
                    </w:rPr>
                    <w:t>Response</w:t>
                  </w:r>
                </w:p>
              </w:tc>
            </w:tr>
            <w:tr w:rsidR="00101BCB" w:rsidTr="00101BCB">
              <w:trPr>
                <w:gridAfter w:val="1"/>
                <w:wAfter w:w="231" w:type="dxa"/>
                <w:trHeight w:val="917"/>
              </w:trPr>
              <w:tc>
                <w:tcPr>
                  <w:tcW w:w="1597" w:type="dxa"/>
                </w:tcPr>
                <w:p w:rsidR="00101BCB" w:rsidRDefault="00101BCB" w:rsidP="00101BCB">
                  <w:pPr>
                    <w:pStyle w:val="NoSpacing"/>
                  </w:pPr>
                  <w:r>
                    <w:t>Financial Reporting:</w:t>
                  </w:r>
                </w:p>
              </w:tc>
              <w:tc>
                <w:tcPr>
                  <w:tcW w:w="1263" w:type="dxa"/>
                </w:tcPr>
                <w:p w:rsidR="00101BCB" w:rsidRDefault="00101BCB" w:rsidP="00101BCB">
                  <w:pPr>
                    <w:pStyle w:val="NoSpacing"/>
                  </w:pPr>
                </w:p>
              </w:tc>
              <w:tc>
                <w:tcPr>
                  <w:tcW w:w="1176" w:type="dxa"/>
                </w:tcPr>
                <w:p w:rsidR="00101BCB" w:rsidRDefault="00101BCB" w:rsidP="00101BCB">
                  <w:pPr>
                    <w:pStyle w:val="NoSpacing"/>
                  </w:pPr>
                </w:p>
              </w:tc>
              <w:tc>
                <w:tcPr>
                  <w:tcW w:w="1205" w:type="dxa"/>
                </w:tcPr>
                <w:p w:rsidR="00101BCB" w:rsidRDefault="00101BCB" w:rsidP="00101BCB">
                  <w:pPr>
                    <w:pStyle w:val="NoSpacing"/>
                  </w:pPr>
                </w:p>
              </w:tc>
              <w:tc>
                <w:tcPr>
                  <w:tcW w:w="812" w:type="dxa"/>
                </w:tcPr>
                <w:p w:rsidR="00101BCB" w:rsidRDefault="00101BCB" w:rsidP="00101BCB">
                  <w:pPr>
                    <w:pStyle w:val="NoSpacing"/>
                  </w:pPr>
                </w:p>
              </w:tc>
              <w:tc>
                <w:tcPr>
                  <w:tcW w:w="1186" w:type="dxa"/>
                </w:tcPr>
                <w:p w:rsidR="00101BCB" w:rsidRDefault="00101BCB" w:rsidP="00101BCB">
                  <w:pPr>
                    <w:pStyle w:val="NoSpacing"/>
                  </w:pPr>
                </w:p>
              </w:tc>
              <w:tc>
                <w:tcPr>
                  <w:tcW w:w="849" w:type="dxa"/>
                </w:tcPr>
                <w:p w:rsidR="00101BCB" w:rsidRDefault="00101BCB" w:rsidP="00101BCB">
                  <w:pPr>
                    <w:pStyle w:val="NoSpacing"/>
                  </w:pPr>
                </w:p>
              </w:tc>
              <w:tc>
                <w:tcPr>
                  <w:tcW w:w="702" w:type="dxa"/>
                </w:tcPr>
                <w:p w:rsidR="00101BCB" w:rsidRDefault="00101BCB" w:rsidP="00101BCB">
                  <w:pPr>
                    <w:pStyle w:val="NoSpacing"/>
                  </w:pPr>
                </w:p>
              </w:tc>
            </w:tr>
            <w:tr w:rsidR="00101BCB" w:rsidTr="00101BCB">
              <w:trPr>
                <w:gridAfter w:val="1"/>
                <w:wAfter w:w="231" w:type="dxa"/>
              </w:trPr>
              <w:tc>
                <w:tcPr>
                  <w:tcW w:w="1597" w:type="dxa"/>
                </w:tcPr>
                <w:p w:rsidR="00101BCB" w:rsidRDefault="00101BCB" w:rsidP="00101BCB">
                  <w:pPr>
                    <w:pStyle w:val="NoSpacing"/>
                  </w:pPr>
                  <w:r>
                    <w:t>Misappropriation of Assets:</w:t>
                  </w:r>
                </w:p>
                <w:p w:rsidR="00101BCB" w:rsidRDefault="00101BCB" w:rsidP="00101BCB">
                  <w:pPr>
                    <w:pStyle w:val="NoSpacing"/>
                  </w:pPr>
                </w:p>
                <w:p w:rsidR="00101BCB" w:rsidRDefault="00101BCB" w:rsidP="00101BCB">
                  <w:pPr>
                    <w:pStyle w:val="NoSpacing"/>
                  </w:pPr>
                </w:p>
                <w:p w:rsidR="00101BCB" w:rsidRDefault="00101BCB" w:rsidP="00101BCB">
                  <w:pPr>
                    <w:pStyle w:val="NoSpacing"/>
                  </w:pPr>
                </w:p>
              </w:tc>
              <w:tc>
                <w:tcPr>
                  <w:tcW w:w="1263" w:type="dxa"/>
                </w:tcPr>
                <w:p w:rsidR="00101BCB" w:rsidRDefault="00101BCB" w:rsidP="00101BCB">
                  <w:pPr>
                    <w:pStyle w:val="NoSpacing"/>
                  </w:pPr>
                </w:p>
              </w:tc>
              <w:tc>
                <w:tcPr>
                  <w:tcW w:w="1176" w:type="dxa"/>
                </w:tcPr>
                <w:p w:rsidR="00101BCB" w:rsidRDefault="00101BCB" w:rsidP="00101BCB">
                  <w:pPr>
                    <w:pStyle w:val="NoSpacing"/>
                  </w:pPr>
                </w:p>
              </w:tc>
              <w:tc>
                <w:tcPr>
                  <w:tcW w:w="1205" w:type="dxa"/>
                </w:tcPr>
                <w:p w:rsidR="00101BCB" w:rsidRDefault="00101BCB" w:rsidP="00101BCB">
                  <w:pPr>
                    <w:pStyle w:val="NoSpacing"/>
                  </w:pPr>
                </w:p>
              </w:tc>
              <w:tc>
                <w:tcPr>
                  <w:tcW w:w="812" w:type="dxa"/>
                </w:tcPr>
                <w:p w:rsidR="00101BCB" w:rsidRDefault="00101BCB" w:rsidP="00101BCB">
                  <w:pPr>
                    <w:pStyle w:val="NoSpacing"/>
                  </w:pPr>
                </w:p>
              </w:tc>
              <w:tc>
                <w:tcPr>
                  <w:tcW w:w="1186" w:type="dxa"/>
                </w:tcPr>
                <w:p w:rsidR="00101BCB" w:rsidRDefault="00101BCB" w:rsidP="00101BCB">
                  <w:pPr>
                    <w:pStyle w:val="NoSpacing"/>
                  </w:pPr>
                </w:p>
              </w:tc>
              <w:tc>
                <w:tcPr>
                  <w:tcW w:w="849" w:type="dxa"/>
                </w:tcPr>
                <w:p w:rsidR="00101BCB" w:rsidRDefault="00101BCB" w:rsidP="00101BCB">
                  <w:pPr>
                    <w:pStyle w:val="NoSpacing"/>
                  </w:pPr>
                </w:p>
              </w:tc>
              <w:tc>
                <w:tcPr>
                  <w:tcW w:w="702" w:type="dxa"/>
                </w:tcPr>
                <w:p w:rsidR="00101BCB" w:rsidRDefault="00101BCB" w:rsidP="00101BCB">
                  <w:pPr>
                    <w:pStyle w:val="NoSpacing"/>
                  </w:pPr>
                </w:p>
              </w:tc>
            </w:tr>
            <w:tr w:rsidR="00101BCB" w:rsidTr="00101BCB">
              <w:trPr>
                <w:gridAfter w:val="1"/>
                <w:wAfter w:w="231" w:type="dxa"/>
              </w:trPr>
              <w:tc>
                <w:tcPr>
                  <w:tcW w:w="1597" w:type="dxa"/>
                </w:tcPr>
                <w:p w:rsidR="00101BCB" w:rsidRDefault="00101BCB" w:rsidP="00101BCB">
                  <w:pPr>
                    <w:pStyle w:val="NoSpacing"/>
                  </w:pPr>
                  <w:r>
                    <w:t>Corruption:</w:t>
                  </w:r>
                </w:p>
                <w:p w:rsidR="00101BCB" w:rsidRDefault="00101BCB" w:rsidP="00101BCB">
                  <w:pPr>
                    <w:pStyle w:val="NoSpacing"/>
                  </w:pPr>
                </w:p>
                <w:p w:rsidR="00101BCB" w:rsidRDefault="00101BCB" w:rsidP="00101BCB">
                  <w:pPr>
                    <w:pStyle w:val="NoSpacing"/>
                  </w:pPr>
                </w:p>
                <w:p w:rsidR="00101BCB" w:rsidRDefault="00101BCB" w:rsidP="00101BCB">
                  <w:pPr>
                    <w:pStyle w:val="NoSpacing"/>
                  </w:pPr>
                </w:p>
                <w:p w:rsidR="00101BCB" w:rsidRDefault="00101BCB" w:rsidP="00101BCB">
                  <w:pPr>
                    <w:pStyle w:val="NoSpacing"/>
                  </w:pPr>
                </w:p>
                <w:p w:rsidR="00101BCB" w:rsidRDefault="00101BCB" w:rsidP="00101BCB">
                  <w:pPr>
                    <w:pStyle w:val="NoSpacing"/>
                  </w:pPr>
                </w:p>
              </w:tc>
              <w:tc>
                <w:tcPr>
                  <w:tcW w:w="1263" w:type="dxa"/>
                </w:tcPr>
                <w:p w:rsidR="00101BCB" w:rsidRDefault="00101BCB" w:rsidP="00101BCB">
                  <w:pPr>
                    <w:pStyle w:val="NoSpacing"/>
                  </w:pPr>
                </w:p>
              </w:tc>
              <w:tc>
                <w:tcPr>
                  <w:tcW w:w="1176" w:type="dxa"/>
                </w:tcPr>
                <w:p w:rsidR="00101BCB" w:rsidRDefault="00101BCB" w:rsidP="00101BCB">
                  <w:pPr>
                    <w:pStyle w:val="NoSpacing"/>
                  </w:pPr>
                </w:p>
              </w:tc>
              <w:tc>
                <w:tcPr>
                  <w:tcW w:w="1205" w:type="dxa"/>
                </w:tcPr>
                <w:p w:rsidR="00101BCB" w:rsidRDefault="00101BCB" w:rsidP="00101BCB">
                  <w:pPr>
                    <w:pStyle w:val="NoSpacing"/>
                  </w:pPr>
                </w:p>
              </w:tc>
              <w:tc>
                <w:tcPr>
                  <w:tcW w:w="812" w:type="dxa"/>
                </w:tcPr>
                <w:p w:rsidR="00101BCB" w:rsidRDefault="00101BCB" w:rsidP="00101BCB">
                  <w:pPr>
                    <w:pStyle w:val="NoSpacing"/>
                  </w:pPr>
                </w:p>
              </w:tc>
              <w:tc>
                <w:tcPr>
                  <w:tcW w:w="1186" w:type="dxa"/>
                </w:tcPr>
                <w:p w:rsidR="00101BCB" w:rsidRDefault="00101BCB" w:rsidP="00101BCB">
                  <w:pPr>
                    <w:pStyle w:val="NoSpacing"/>
                  </w:pPr>
                </w:p>
              </w:tc>
              <w:tc>
                <w:tcPr>
                  <w:tcW w:w="849" w:type="dxa"/>
                </w:tcPr>
                <w:p w:rsidR="00101BCB" w:rsidRDefault="00101BCB" w:rsidP="00101BCB">
                  <w:pPr>
                    <w:pStyle w:val="NoSpacing"/>
                  </w:pPr>
                </w:p>
              </w:tc>
              <w:tc>
                <w:tcPr>
                  <w:tcW w:w="702" w:type="dxa"/>
                </w:tcPr>
                <w:p w:rsidR="00101BCB" w:rsidRDefault="00101BCB" w:rsidP="00101BCB">
                  <w:pPr>
                    <w:pStyle w:val="NoSpacing"/>
                  </w:pPr>
                </w:p>
              </w:tc>
            </w:tr>
          </w:tbl>
          <w:p w:rsidR="00610C68" w:rsidRDefault="00610C68" w:rsidP="00610C68">
            <w:pPr>
              <w:pStyle w:val="NoSpacing"/>
            </w:pPr>
            <w:bookmarkStart w:id="0" w:name="_GoBack"/>
            <w:bookmarkEnd w:id="0"/>
          </w:p>
          <w:p w:rsidR="00016C5C" w:rsidRPr="00392762" w:rsidRDefault="00016C5C" w:rsidP="00610C68">
            <w:pPr>
              <w:pStyle w:val="NoSpacing"/>
            </w:pPr>
            <w:r>
              <w:t xml:space="preserve"> </w:t>
            </w:r>
          </w:p>
          <w:p w:rsidR="00016C5C" w:rsidRDefault="00016C5C" w:rsidP="00016C5C">
            <w:pPr>
              <w:spacing w:after="160" w:line="259" w:lineRule="auto"/>
            </w:pP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6261" w:rsidP="00A851DA">
            <w:pPr>
              <w:rPr>
                <w:rFonts w:cs="Bliss-Regular"/>
                <w:color w:val="000000"/>
              </w:rPr>
            </w:pPr>
            <w:r>
              <w:rPr>
                <w:rFonts w:cs="Bliss-Regular"/>
                <w:color w:val="000000"/>
              </w:rPr>
              <w:t>19</w:t>
            </w:r>
            <w:r w:rsidR="00662B7A">
              <w:rPr>
                <w:rFonts w:cs="Bliss-Regular"/>
                <w:color w:val="000000"/>
              </w:rPr>
              <w:t>/05</w:t>
            </w:r>
            <w:r w:rsidR="0085061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FB2" w:rsidRDefault="00C51FB2" w:rsidP="00CB4D0A">
      <w:pPr>
        <w:spacing w:after="0" w:line="240" w:lineRule="auto"/>
      </w:pPr>
      <w:r>
        <w:separator/>
      </w:r>
    </w:p>
  </w:endnote>
  <w:endnote w:type="continuationSeparator" w:id="0">
    <w:p w:rsidR="00C51FB2" w:rsidRDefault="00C51F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FB2" w:rsidRDefault="00C51FB2" w:rsidP="00CB4D0A">
      <w:pPr>
        <w:spacing w:after="0" w:line="240" w:lineRule="auto"/>
      </w:pPr>
      <w:r>
        <w:separator/>
      </w:r>
    </w:p>
  </w:footnote>
  <w:footnote w:type="continuationSeparator" w:id="0">
    <w:p w:rsidR="00C51FB2" w:rsidRDefault="00C51F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2A4268"/>
    <w:multiLevelType w:val="hybridMultilevel"/>
    <w:tmpl w:val="8E2213E2"/>
    <w:lvl w:ilvl="0" w:tplc="838E5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3">
    <w:nsid w:val="340A2458"/>
    <w:multiLevelType w:val="hybridMultilevel"/>
    <w:tmpl w:val="0AD4E95E"/>
    <w:lvl w:ilvl="0" w:tplc="6658B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7">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8">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A35010"/>
    <w:multiLevelType w:val="hybridMultilevel"/>
    <w:tmpl w:val="9516F554"/>
    <w:lvl w:ilvl="0" w:tplc="B43E3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EC5883"/>
    <w:multiLevelType w:val="hybridMultilevel"/>
    <w:tmpl w:val="11B498CA"/>
    <w:lvl w:ilvl="0" w:tplc="A11C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9">
    <w:nsid w:val="77722E8E"/>
    <w:multiLevelType w:val="hybridMultilevel"/>
    <w:tmpl w:val="8A6CF034"/>
    <w:lvl w:ilvl="0" w:tplc="3E9651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1"/>
  </w:num>
  <w:num w:numId="3">
    <w:abstractNumId w:val="14"/>
  </w:num>
  <w:num w:numId="4">
    <w:abstractNumId w:val="27"/>
  </w:num>
  <w:num w:numId="5">
    <w:abstractNumId w:val="9"/>
  </w:num>
  <w:num w:numId="6">
    <w:abstractNumId w:val="1"/>
  </w:num>
  <w:num w:numId="7">
    <w:abstractNumId w:val="8"/>
  </w:num>
  <w:num w:numId="8">
    <w:abstractNumId w:val="18"/>
  </w:num>
  <w:num w:numId="9">
    <w:abstractNumId w:val="4"/>
  </w:num>
  <w:num w:numId="10">
    <w:abstractNumId w:val="20"/>
  </w:num>
  <w:num w:numId="11">
    <w:abstractNumId w:val="12"/>
  </w:num>
  <w:num w:numId="12">
    <w:abstractNumId w:val="11"/>
  </w:num>
  <w:num w:numId="13">
    <w:abstractNumId w:val="17"/>
  </w:num>
  <w:num w:numId="14">
    <w:abstractNumId w:val="21"/>
  </w:num>
  <w:num w:numId="15">
    <w:abstractNumId w:val="23"/>
  </w:num>
  <w:num w:numId="16">
    <w:abstractNumId w:val="5"/>
  </w:num>
  <w:num w:numId="17">
    <w:abstractNumId w:val="28"/>
  </w:num>
  <w:num w:numId="18">
    <w:abstractNumId w:val="3"/>
  </w:num>
  <w:num w:numId="19">
    <w:abstractNumId w:val="10"/>
  </w:num>
  <w:num w:numId="20">
    <w:abstractNumId w:val="26"/>
  </w:num>
  <w:num w:numId="21">
    <w:abstractNumId w:val="0"/>
  </w:num>
  <w:num w:numId="22">
    <w:abstractNumId w:val="7"/>
  </w:num>
  <w:num w:numId="23">
    <w:abstractNumId w:val="30"/>
  </w:num>
  <w:num w:numId="24">
    <w:abstractNumId w:val="2"/>
  </w:num>
  <w:num w:numId="25">
    <w:abstractNumId w:val="19"/>
  </w:num>
  <w:num w:numId="26">
    <w:abstractNumId w:val="15"/>
  </w:num>
  <w:num w:numId="27">
    <w:abstractNumId w:val="16"/>
  </w:num>
  <w:num w:numId="28">
    <w:abstractNumId w:val="24"/>
  </w:num>
  <w:num w:numId="29">
    <w:abstractNumId w:val="25"/>
  </w:num>
  <w:num w:numId="30">
    <w:abstractNumId w:val="13"/>
  </w:num>
  <w:num w:numId="31">
    <w:abstractNumId w:val="29"/>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01BCB"/>
    <w:rsid w:val="001175EE"/>
    <w:rsid w:val="00157CF6"/>
    <w:rsid w:val="00182416"/>
    <w:rsid w:val="00187EB4"/>
    <w:rsid w:val="001F0481"/>
    <w:rsid w:val="00200C92"/>
    <w:rsid w:val="0020451E"/>
    <w:rsid w:val="00206B9D"/>
    <w:rsid w:val="00213FAA"/>
    <w:rsid w:val="0023259C"/>
    <w:rsid w:val="002966B6"/>
    <w:rsid w:val="002B0BD7"/>
    <w:rsid w:val="002B573D"/>
    <w:rsid w:val="002C4303"/>
    <w:rsid w:val="002C5CB2"/>
    <w:rsid w:val="002F779F"/>
    <w:rsid w:val="00311068"/>
    <w:rsid w:val="003705EC"/>
    <w:rsid w:val="00371885"/>
    <w:rsid w:val="003E2B87"/>
    <w:rsid w:val="00402786"/>
    <w:rsid w:val="00405895"/>
    <w:rsid w:val="004058DF"/>
    <w:rsid w:val="00415670"/>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94EF3"/>
    <w:rsid w:val="005B1974"/>
    <w:rsid w:val="005B31E4"/>
    <w:rsid w:val="005E49FB"/>
    <w:rsid w:val="006034F6"/>
    <w:rsid w:val="00607874"/>
    <w:rsid w:val="00607E77"/>
    <w:rsid w:val="00610C68"/>
    <w:rsid w:val="00617BB3"/>
    <w:rsid w:val="00645CDD"/>
    <w:rsid w:val="006466B5"/>
    <w:rsid w:val="00662B7A"/>
    <w:rsid w:val="006823A7"/>
    <w:rsid w:val="006862D2"/>
    <w:rsid w:val="00687EE8"/>
    <w:rsid w:val="0070347F"/>
    <w:rsid w:val="0070678E"/>
    <w:rsid w:val="00771355"/>
    <w:rsid w:val="007D191A"/>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1FB2"/>
    <w:rsid w:val="00C53029"/>
    <w:rsid w:val="00C65FEA"/>
    <w:rsid w:val="00C83056"/>
    <w:rsid w:val="00CA0AC2"/>
    <w:rsid w:val="00CB4D0A"/>
    <w:rsid w:val="00CB5BBB"/>
    <w:rsid w:val="00CC2FB3"/>
    <w:rsid w:val="00CC575A"/>
    <w:rsid w:val="00CF123B"/>
    <w:rsid w:val="00D039A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EE6261"/>
    <w:rsid w:val="00F96EB3"/>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14CC3-C26D-47C6-B8D8-3A22694CC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22</cp:revision>
  <dcterms:created xsi:type="dcterms:W3CDTF">2015-01-26T12:24:00Z</dcterms:created>
  <dcterms:modified xsi:type="dcterms:W3CDTF">2015-05-19T13:33:00Z</dcterms:modified>
</cp:coreProperties>
</file>