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8"/>
        <w:gridCol w:w="6488"/>
      </w:tblGrid>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sidRPr="00D96108">
              <w:rPr>
                <w:rFonts w:ascii="Arial" w:hAnsi="Arial" w:cs="Arial"/>
              </w:rPr>
              <w:t>Aleck Mandivengerei</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6108" w:rsidRDefault="00D96108">
            <w:pPr>
              <w:pStyle w:val="Default"/>
              <w:rPr>
                <w:rFonts w:ascii="Arial" w:hAnsi="Arial" w:cs="Arial"/>
              </w:rPr>
            </w:pPr>
            <w:r>
              <w:rPr>
                <w:rFonts w:ascii="Arial" w:hAnsi="Arial" w:cs="Arial"/>
              </w:rPr>
              <w:t>1674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Pr>
                <w:rFonts w:ascii="Arial" w:hAnsi="Arial" w:cs="Arial"/>
              </w:rPr>
              <w:t>Diploma in Forensic Accounting</w:t>
            </w:r>
            <w:r w:rsidR="00140965">
              <w:rPr>
                <w:rFonts w:ascii="Arial" w:hAnsi="Arial" w:cs="Arial"/>
              </w:rPr>
              <w:t xml:space="preserve"> (Level 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140965">
            <w:pPr>
              <w:rPr>
                <w:rFonts w:ascii="Arial" w:hAnsi="Arial" w:cs="Arial"/>
                <w:sz w:val="24"/>
                <w:szCs w:val="24"/>
              </w:rPr>
            </w:pPr>
            <w:r>
              <w:rPr>
                <w:rFonts w:ascii="Arial" w:hAnsi="Arial" w:cs="Arial"/>
                <w:sz w:val="24"/>
                <w:szCs w:val="24"/>
              </w:rP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F2017" w:rsidRDefault="00BF2017" w:rsidP="00A851DA">
            <w:pPr>
              <w:rPr>
                <w:rFonts w:ascii="Arial" w:hAnsi="Arial" w:cs="Arial"/>
                <w:sz w:val="24"/>
                <w:szCs w:val="24"/>
              </w:rPr>
            </w:pPr>
          </w:p>
          <w:p w:rsidR="00B72509" w:rsidRDefault="00B72509" w:rsidP="00B7250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 xml:space="preserve">i) The best evidence rule asserts that when a witness testifies on the contents of a documents, the original or at least a fair copy of the original must be produced for inspection. It prohibits oral testimony on written documents without producing the document or proving to the court that it is impractical to do so. The best evidence rule is also known as the original writing rule. An example is when A observes B drafting an incriminating document. Possible evidence will be testimony by A concerning the document, the actual document drafted by B or a fair copy of the document. If all the above evidences are available, the best evidence will be the original document drafted by B. However, the application of this rule is not uniform across countries and it would be ideal to consult an attorney on the applicability of the rule in a given country. </w:t>
            </w:r>
          </w:p>
          <w:p w:rsidR="00B72509" w:rsidRDefault="00B72509" w:rsidP="00B72509">
            <w:pPr>
              <w:pStyle w:val="ListParagraph"/>
              <w:spacing w:after="160" w:line="360" w:lineRule="auto"/>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ii) Collected evidence should be kept in a well organised manner to prevent the evidence from being lost. If the documents are lost in the hands of the forensic investigator the case will be destroyed leading to professional embarrassment and criminal liability in some instances. The documents should be secured such as placing them in a locked file cabinet.</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lastRenderedPageBreak/>
              <w:t>Collected evidence should also be well organised so as to prevent unauthorised persons from viewing the documents. The confidentiality of the evidence is of paramount importance when investigating fraud cases. Subjects may unduly access the collected evidence and build up their own defense based on collected evidence to interfere with witnesses. In most cases subjects may bribe key witnesses so that they may change their testimony in favour of the subject and many cases are destroyed this way.</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From the time evidence is collected to the time it is presented for trial the forensic investigator must keep a memorandum for each type of evidence shown where it was obtained from, from whom, when and in what nature and who has had custody of the evidence. The examiner should also include what they will have done with the evidence. This is known as the chain of custody. It prevents evidence from being altered and also ensure that unauthorised persons didn’t have custody of the evidence.   If evidence is altered, it may be unacceptable at courts of law.</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iii) Devices which can help when collecting evidence include: -</w:t>
            </w:r>
          </w:p>
          <w:p w:rsidR="00B72509" w:rsidRDefault="00B72509" w:rsidP="00B7250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Personal computers (both desktop computers and laptops)</w:t>
            </w:r>
          </w:p>
          <w:p w:rsidR="00B72509" w:rsidRDefault="00B72509" w:rsidP="00B7250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Email communications and chats medial such as Twitter, Facebook and WhatsApp.</w:t>
            </w:r>
          </w:p>
          <w:p w:rsidR="00B72509" w:rsidRDefault="00B72509" w:rsidP="00B7250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Storage media such as DVDs, CDs, external hard drives and flash drives.</w:t>
            </w:r>
          </w:p>
          <w:p w:rsidR="00B72509" w:rsidRDefault="00B72509" w:rsidP="00B7250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Printers, scanners and copiers.</w:t>
            </w:r>
          </w:p>
          <w:p w:rsidR="00B72509" w:rsidRDefault="00B72509" w:rsidP="00B7250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Wireless and cordless telephones</w:t>
            </w:r>
          </w:p>
          <w:p w:rsidR="00B72509" w:rsidRDefault="00B72509" w:rsidP="00B7250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Smart cards and Blackberry devices.</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iv)  Planning is essential before engaging in any investigation in order to determine the scope of the investigation. When planning for the evidence gathering process the following point should be considered.</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 xml:space="preserve">The investigator should consider the client’s document retention policy (DRP). The retention policy specifies the period of retaining the documents before destroying them. When investigations are anticipated or in progress the client should consider suspending the destruction of documents. The </w:t>
            </w:r>
            <w:r>
              <w:rPr>
                <w:rFonts w:ascii="Arial" w:hAnsi="Arial" w:cs="Arial"/>
                <w:sz w:val="24"/>
                <w:szCs w:val="24"/>
              </w:rPr>
              <w:lastRenderedPageBreak/>
              <w:t xml:space="preserve">investigator will establish whether all documents needed for the investigation are in place given the client’s retention policy.  </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The investigator should take note of the client’s organizational chart and reporting structures within the organisation. Establishing who reports to who can assist the investigator when planning the sequence of interviews that is starting from the less involved moving towards the subject and also from low level employees to high level employees.</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There is need to consider whether pertinent company information is stored at employees’ homes and their personal computers. If that is the case, then plan how such information can be collected.</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The investigator also needs to check the existence and storage of employees file. This is of paramount importance some employees who might have been charged for violating disciplinary codes of conduct may collude with employees in charge of the employees’ files so that all incriminating documents are removed from their files. This often happens in government departments where employees are appraised annually, those charged during the year may collude with employees in charge of their files so that all charges and disciplinary documents are removed. They will appear to have clean records of services when in actual fact they were previously charged.</w:t>
            </w:r>
            <w:r>
              <w:rPr>
                <w:rFonts w:ascii="Arial" w:hAnsi="Arial" w:cs="Arial"/>
                <w:sz w:val="24"/>
                <w:szCs w:val="24"/>
              </w:rPr>
              <w:t xml:space="preserve"> </w:t>
            </w:r>
            <w:r>
              <w:rPr>
                <w:rFonts w:ascii="Arial" w:hAnsi="Arial" w:cs="Arial"/>
                <w:sz w:val="24"/>
                <w:szCs w:val="24"/>
              </w:rPr>
              <w:t>The investigator can consider clearly writing down a plan for document collection so as to have a clear and focused direction during the investigation.</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v)  Working papers are documents which record all the evidence obtained during the investigation and they include the following: -</w:t>
            </w:r>
          </w:p>
          <w:p w:rsidR="00B72509" w:rsidRDefault="00B72509" w:rsidP="00B72509">
            <w:pPr>
              <w:spacing w:line="360" w:lineRule="auto"/>
              <w:ind w:left="720"/>
              <w:jc w:val="both"/>
              <w:rPr>
                <w:rFonts w:ascii="Arial" w:hAnsi="Arial" w:cs="Arial"/>
                <w:sz w:val="24"/>
                <w:szCs w:val="24"/>
              </w:rPr>
            </w:pPr>
          </w:p>
          <w:p w:rsidR="00B72509" w:rsidRDefault="00B72509" w:rsidP="00B72509">
            <w:pPr>
              <w:pStyle w:val="ListParagraph"/>
              <w:numPr>
                <w:ilvl w:val="0"/>
                <w:numId w:val="8"/>
              </w:numPr>
              <w:spacing w:after="160" w:line="360" w:lineRule="auto"/>
              <w:jc w:val="both"/>
              <w:rPr>
                <w:rFonts w:ascii="Arial" w:hAnsi="Arial" w:cs="Arial"/>
                <w:sz w:val="24"/>
                <w:szCs w:val="24"/>
              </w:rPr>
            </w:pPr>
            <w:r w:rsidRPr="00A34620">
              <w:rPr>
                <w:rFonts w:ascii="Arial" w:hAnsi="Arial" w:cs="Arial"/>
                <w:b/>
                <w:sz w:val="24"/>
                <w:szCs w:val="24"/>
              </w:rPr>
              <w:t>Accounting records and other documents</w:t>
            </w:r>
            <w:r>
              <w:rPr>
                <w:rFonts w:ascii="Arial" w:hAnsi="Arial" w:cs="Arial"/>
                <w:sz w:val="24"/>
                <w:szCs w:val="24"/>
              </w:rPr>
              <w:t>. Working papers includes all the financial statements such as profit and loss statements and statement of financial position. Sources documents for these statements is also important such as general legers, journal entries, management reports and any other accounting record or document.</w:t>
            </w:r>
          </w:p>
          <w:p w:rsidR="00B72509" w:rsidRDefault="00B72509" w:rsidP="00B72509">
            <w:pPr>
              <w:pStyle w:val="ListParagraph"/>
              <w:spacing w:line="360" w:lineRule="auto"/>
              <w:ind w:left="1440"/>
              <w:jc w:val="both"/>
              <w:rPr>
                <w:rFonts w:ascii="Arial" w:hAnsi="Arial" w:cs="Arial"/>
                <w:sz w:val="24"/>
                <w:szCs w:val="24"/>
              </w:rPr>
            </w:pPr>
          </w:p>
          <w:p w:rsidR="00B72509" w:rsidRDefault="00B72509" w:rsidP="00B72509">
            <w:pPr>
              <w:pStyle w:val="ListParagraph"/>
              <w:numPr>
                <w:ilvl w:val="0"/>
                <w:numId w:val="8"/>
              </w:numPr>
              <w:spacing w:after="160" w:line="360" w:lineRule="auto"/>
              <w:jc w:val="both"/>
              <w:rPr>
                <w:rFonts w:ascii="Arial" w:hAnsi="Arial" w:cs="Arial"/>
                <w:sz w:val="24"/>
                <w:szCs w:val="24"/>
              </w:rPr>
            </w:pPr>
            <w:r>
              <w:rPr>
                <w:rFonts w:ascii="Arial" w:hAnsi="Arial" w:cs="Arial"/>
                <w:b/>
                <w:sz w:val="24"/>
                <w:szCs w:val="24"/>
              </w:rPr>
              <w:lastRenderedPageBreak/>
              <w:t>Public record searches</w:t>
            </w:r>
            <w:r w:rsidRPr="00A34620">
              <w:rPr>
                <w:rFonts w:ascii="Arial" w:hAnsi="Arial" w:cs="Arial"/>
                <w:sz w:val="24"/>
                <w:szCs w:val="24"/>
              </w:rPr>
              <w:t>.</w:t>
            </w:r>
            <w:r>
              <w:rPr>
                <w:rFonts w:ascii="Arial" w:hAnsi="Arial" w:cs="Arial"/>
                <w:sz w:val="24"/>
                <w:szCs w:val="24"/>
              </w:rPr>
              <w:t xml:space="preserve"> Public searches on the corporation, key management and employees may retain useful information which should be included in the working papers such as hobbies, interests, investments and newspaper publications.</w:t>
            </w:r>
          </w:p>
          <w:p w:rsidR="00B72509" w:rsidRDefault="00B72509" w:rsidP="00B72509">
            <w:pPr>
              <w:pStyle w:val="ListParagraph"/>
              <w:spacing w:line="360" w:lineRule="auto"/>
              <w:ind w:left="1440"/>
              <w:jc w:val="both"/>
              <w:rPr>
                <w:rFonts w:ascii="Arial" w:hAnsi="Arial" w:cs="Arial"/>
                <w:sz w:val="24"/>
                <w:szCs w:val="24"/>
              </w:rPr>
            </w:pPr>
          </w:p>
          <w:p w:rsidR="00B72509" w:rsidRDefault="00B72509" w:rsidP="00B72509">
            <w:pPr>
              <w:pStyle w:val="ListParagraph"/>
              <w:numPr>
                <w:ilvl w:val="0"/>
                <w:numId w:val="8"/>
              </w:numPr>
              <w:spacing w:after="160" w:line="360" w:lineRule="auto"/>
              <w:jc w:val="both"/>
              <w:rPr>
                <w:rFonts w:ascii="Arial" w:hAnsi="Arial" w:cs="Arial"/>
                <w:sz w:val="24"/>
                <w:szCs w:val="24"/>
              </w:rPr>
            </w:pPr>
            <w:r>
              <w:rPr>
                <w:rFonts w:ascii="Arial" w:hAnsi="Arial" w:cs="Arial"/>
                <w:b/>
                <w:sz w:val="24"/>
                <w:szCs w:val="24"/>
              </w:rPr>
              <w:t>Documentations pertaining to the chain of custody</w:t>
            </w:r>
            <w:r w:rsidRPr="00A34620">
              <w:rPr>
                <w:rFonts w:ascii="Arial" w:hAnsi="Arial" w:cs="Arial"/>
                <w:sz w:val="24"/>
                <w:szCs w:val="24"/>
              </w:rPr>
              <w:t>.</w:t>
            </w:r>
            <w:r>
              <w:rPr>
                <w:rFonts w:ascii="Arial" w:hAnsi="Arial" w:cs="Arial"/>
                <w:sz w:val="24"/>
                <w:szCs w:val="24"/>
              </w:rPr>
              <w:t xml:space="preserve"> </w:t>
            </w:r>
            <w:r w:rsidRPr="00A34620">
              <w:rPr>
                <w:rFonts w:ascii="Arial" w:hAnsi="Arial" w:cs="Arial"/>
                <w:sz w:val="24"/>
                <w:szCs w:val="24"/>
              </w:rPr>
              <w:t xml:space="preserve">This </w:t>
            </w:r>
            <w:r>
              <w:rPr>
                <w:rFonts w:ascii="Arial" w:hAnsi="Arial" w:cs="Arial"/>
                <w:sz w:val="24"/>
                <w:szCs w:val="24"/>
              </w:rPr>
              <w:t>includes a list of individuals who at one time possessed the evidence and what they have done to it. It should include the date, time and nature of the evidence.</w:t>
            </w:r>
          </w:p>
          <w:p w:rsidR="00B72509" w:rsidRPr="0031278B" w:rsidRDefault="00B72509" w:rsidP="00B72509">
            <w:pPr>
              <w:pStyle w:val="ListParagraph"/>
              <w:rPr>
                <w:rFonts w:ascii="Arial" w:hAnsi="Arial" w:cs="Arial"/>
                <w:b/>
                <w:sz w:val="24"/>
                <w:szCs w:val="24"/>
              </w:rPr>
            </w:pPr>
          </w:p>
          <w:p w:rsidR="00B72509" w:rsidRPr="0031278B" w:rsidRDefault="00B72509" w:rsidP="00B72509">
            <w:pPr>
              <w:pStyle w:val="ListParagraph"/>
              <w:numPr>
                <w:ilvl w:val="0"/>
                <w:numId w:val="8"/>
              </w:numPr>
              <w:spacing w:after="160" w:line="360" w:lineRule="auto"/>
              <w:jc w:val="both"/>
              <w:rPr>
                <w:rFonts w:ascii="Arial" w:hAnsi="Arial" w:cs="Arial"/>
                <w:b/>
                <w:sz w:val="24"/>
                <w:szCs w:val="24"/>
              </w:rPr>
            </w:pPr>
            <w:r w:rsidRPr="0031278B">
              <w:rPr>
                <w:rFonts w:ascii="Arial" w:hAnsi="Arial" w:cs="Arial"/>
                <w:b/>
                <w:sz w:val="24"/>
                <w:szCs w:val="24"/>
              </w:rPr>
              <w:t>Interview notes and audio recordings.</w:t>
            </w:r>
            <w:r>
              <w:rPr>
                <w:rFonts w:ascii="Arial" w:hAnsi="Arial" w:cs="Arial"/>
                <w:b/>
                <w:sz w:val="24"/>
                <w:szCs w:val="24"/>
              </w:rPr>
              <w:t xml:space="preserve"> </w:t>
            </w:r>
            <w:r>
              <w:rPr>
                <w:rFonts w:ascii="Arial" w:hAnsi="Arial" w:cs="Arial"/>
                <w:sz w:val="24"/>
                <w:szCs w:val="24"/>
              </w:rPr>
              <w:t xml:space="preserve"> Although interviews notes are not intended to be verbatim, the brief notes and recordings are part of the working papers. </w:t>
            </w:r>
          </w:p>
          <w:p w:rsidR="00B72509" w:rsidRPr="0031278B" w:rsidRDefault="00B72509" w:rsidP="00B72509">
            <w:pPr>
              <w:pStyle w:val="ListParagraph"/>
              <w:rPr>
                <w:rFonts w:ascii="Arial" w:hAnsi="Arial" w:cs="Arial"/>
                <w:b/>
                <w:sz w:val="24"/>
                <w:szCs w:val="24"/>
              </w:rPr>
            </w:pPr>
          </w:p>
          <w:p w:rsidR="00B72509" w:rsidRDefault="00B72509" w:rsidP="00B72509">
            <w:pPr>
              <w:spacing w:line="360" w:lineRule="auto"/>
              <w:ind w:left="720"/>
              <w:jc w:val="both"/>
              <w:rPr>
                <w:rFonts w:ascii="Arial" w:hAnsi="Arial" w:cs="Arial"/>
                <w:sz w:val="24"/>
                <w:szCs w:val="24"/>
              </w:rPr>
            </w:pPr>
            <w:r w:rsidRPr="0031278B">
              <w:rPr>
                <w:rFonts w:ascii="Arial" w:hAnsi="Arial" w:cs="Arial"/>
                <w:sz w:val="24"/>
                <w:szCs w:val="24"/>
              </w:rPr>
              <w:t>vi)</w:t>
            </w:r>
            <w:r>
              <w:rPr>
                <w:rFonts w:ascii="Arial" w:hAnsi="Arial" w:cs="Arial"/>
                <w:sz w:val="24"/>
                <w:szCs w:val="24"/>
              </w:rPr>
              <w:t xml:space="preserve"> The main steps involved in the evidence gathering process are document retention gathering, planning consideration and creating a chain of custody.</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b/>
                <w:sz w:val="24"/>
                <w:szCs w:val="24"/>
              </w:rPr>
            </w:pPr>
            <w:r w:rsidRPr="007E5874">
              <w:rPr>
                <w:rFonts w:ascii="Arial" w:hAnsi="Arial" w:cs="Arial"/>
                <w:b/>
                <w:sz w:val="24"/>
                <w:szCs w:val="24"/>
              </w:rPr>
              <w:t>Document retention gathering</w:t>
            </w: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As financial crime investigations rely heavily on documentary evidence the investigator should consider the client’s document retention policy. Sometimes an investigation might require information for the past two years and this can be a challenge when the company destroys all documents after one year. The investigator should liaise with the client to ensure that destruction of records is temporarily suspended if litigation is anticipated.</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b/>
                <w:sz w:val="24"/>
                <w:szCs w:val="24"/>
              </w:rPr>
            </w:pPr>
            <w:r w:rsidRPr="007E5874">
              <w:rPr>
                <w:rFonts w:ascii="Arial" w:hAnsi="Arial" w:cs="Arial"/>
                <w:b/>
                <w:sz w:val="24"/>
                <w:szCs w:val="24"/>
              </w:rPr>
              <w:t>Planning Consideration</w:t>
            </w: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Having guaranteed that the required documents will be secured and not destroyed, the investigator will plan how the evidence gathering will be carried out. Planning is vital since no one plans to fail but many people fail to plan. Planning the collection of documents gives the interviewer direction and focus.</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b/>
                <w:sz w:val="24"/>
                <w:szCs w:val="24"/>
              </w:rPr>
            </w:pPr>
            <w:r w:rsidRPr="00FE158F">
              <w:rPr>
                <w:rFonts w:ascii="Arial" w:hAnsi="Arial" w:cs="Arial"/>
                <w:b/>
                <w:sz w:val="24"/>
                <w:szCs w:val="24"/>
              </w:rPr>
              <w:t>Creating a chain of custody</w:t>
            </w:r>
          </w:p>
          <w:p w:rsidR="00B72509" w:rsidRDefault="00B72509" w:rsidP="00B72509">
            <w:pPr>
              <w:spacing w:line="360" w:lineRule="auto"/>
              <w:ind w:left="720"/>
              <w:jc w:val="both"/>
              <w:rPr>
                <w:rFonts w:ascii="Arial" w:hAnsi="Arial" w:cs="Arial"/>
                <w:sz w:val="24"/>
                <w:szCs w:val="24"/>
              </w:rPr>
            </w:pPr>
            <w:r w:rsidRPr="00FE158F">
              <w:rPr>
                <w:rFonts w:ascii="Arial" w:hAnsi="Arial" w:cs="Arial"/>
                <w:sz w:val="24"/>
                <w:szCs w:val="24"/>
              </w:rPr>
              <w:t xml:space="preserve">For evidence to be acceptable at courts of law </w:t>
            </w:r>
            <w:r>
              <w:rPr>
                <w:rFonts w:ascii="Arial" w:hAnsi="Arial" w:cs="Arial"/>
                <w:sz w:val="24"/>
                <w:szCs w:val="24"/>
              </w:rPr>
              <w:t xml:space="preserve">it must be preserved from alteration and destruction. A transcript of all individuals who had custody of the evidence must be maintained by the investigator. This is known as the </w:t>
            </w:r>
            <w:r>
              <w:rPr>
                <w:rFonts w:ascii="Arial" w:hAnsi="Arial" w:cs="Arial"/>
                <w:sz w:val="24"/>
                <w:szCs w:val="24"/>
              </w:rPr>
              <w:lastRenderedPageBreak/>
              <w:t>chain of custody. Only correctly preserved evidence is admissible in courts of law.</w:t>
            </w:r>
          </w:p>
          <w:p w:rsidR="00B72509" w:rsidRDefault="00B72509" w:rsidP="00B72509">
            <w:pPr>
              <w:spacing w:line="360" w:lineRule="auto"/>
              <w:ind w:left="720"/>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vii) During the evidence gathering process various types of documents can be collected. The following is a list of such documents and the possible sources where they are obtained.</w:t>
            </w:r>
          </w:p>
          <w:p w:rsidR="00B72509" w:rsidRDefault="00B72509" w:rsidP="00B72509">
            <w:pPr>
              <w:spacing w:line="360" w:lineRule="auto"/>
              <w:ind w:left="720"/>
              <w:jc w:val="both"/>
              <w:rPr>
                <w:rFonts w:ascii="Arial" w:hAnsi="Arial" w:cs="Arial"/>
                <w:sz w:val="24"/>
                <w:szCs w:val="24"/>
              </w:rPr>
            </w:pPr>
          </w:p>
          <w:p w:rsidR="00B72509" w:rsidRPr="00B72509" w:rsidRDefault="00B72509" w:rsidP="00B72509">
            <w:pPr>
              <w:pStyle w:val="ListParagraph"/>
              <w:numPr>
                <w:ilvl w:val="0"/>
                <w:numId w:val="9"/>
              </w:numPr>
              <w:spacing w:after="160" w:line="360" w:lineRule="auto"/>
              <w:jc w:val="both"/>
              <w:rPr>
                <w:rFonts w:ascii="Arial" w:hAnsi="Arial" w:cs="Arial"/>
                <w:b/>
                <w:sz w:val="24"/>
                <w:szCs w:val="24"/>
              </w:rPr>
            </w:pPr>
            <w:r w:rsidRPr="00F404B7">
              <w:rPr>
                <w:rFonts w:ascii="Arial" w:hAnsi="Arial" w:cs="Arial"/>
                <w:b/>
                <w:sz w:val="24"/>
                <w:szCs w:val="24"/>
              </w:rPr>
              <w:t xml:space="preserve">Signed statements. </w:t>
            </w:r>
            <w:r>
              <w:rPr>
                <w:rFonts w:ascii="Arial" w:hAnsi="Arial" w:cs="Arial"/>
                <w:sz w:val="24"/>
                <w:szCs w:val="24"/>
              </w:rPr>
              <w:t>Written and signed statements are obtained from witnesses and complainants. Writing is a way of preserving the evidence that may be required in future for reference as long time events can be easily forgotten and signing is authenticating the statements.</w:t>
            </w:r>
          </w:p>
          <w:p w:rsidR="00B72509" w:rsidRPr="00F404B7" w:rsidRDefault="00B72509" w:rsidP="00B72509">
            <w:pPr>
              <w:pStyle w:val="ListParagraph"/>
              <w:spacing w:after="160" w:line="360" w:lineRule="auto"/>
              <w:ind w:left="1440"/>
              <w:jc w:val="both"/>
              <w:rPr>
                <w:rFonts w:ascii="Arial" w:hAnsi="Arial" w:cs="Arial"/>
                <w:b/>
                <w:sz w:val="24"/>
                <w:szCs w:val="24"/>
              </w:rPr>
            </w:pPr>
          </w:p>
          <w:p w:rsidR="00B72509" w:rsidRPr="001C6EE7" w:rsidRDefault="00B72509" w:rsidP="00B72509">
            <w:pPr>
              <w:pStyle w:val="ListParagraph"/>
              <w:numPr>
                <w:ilvl w:val="0"/>
                <w:numId w:val="9"/>
              </w:numPr>
              <w:spacing w:after="160" w:line="360" w:lineRule="auto"/>
              <w:jc w:val="both"/>
              <w:rPr>
                <w:rFonts w:ascii="Arial" w:hAnsi="Arial" w:cs="Arial"/>
                <w:b/>
                <w:sz w:val="24"/>
                <w:szCs w:val="24"/>
              </w:rPr>
            </w:pPr>
            <w:r>
              <w:rPr>
                <w:rFonts w:ascii="Arial" w:hAnsi="Arial" w:cs="Arial"/>
                <w:b/>
                <w:sz w:val="24"/>
                <w:szCs w:val="24"/>
              </w:rPr>
              <w:t xml:space="preserve">Transactional paperwork.  </w:t>
            </w:r>
            <w:r>
              <w:rPr>
                <w:rFonts w:ascii="Arial" w:hAnsi="Arial" w:cs="Arial"/>
                <w:sz w:val="24"/>
                <w:szCs w:val="24"/>
              </w:rPr>
              <w:t>Businesses have a wealth of documents ranching from correspondences and memorandums to invoices and vouchers that leaves an audit trail. This information is obtained from the administration offices or printer internal memories.</w:t>
            </w:r>
          </w:p>
          <w:p w:rsidR="00B72509" w:rsidRPr="001C6EE7" w:rsidRDefault="00B72509" w:rsidP="00B72509">
            <w:pPr>
              <w:pStyle w:val="ListParagraph"/>
              <w:spacing w:line="360" w:lineRule="auto"/>
              <w:ind w:left="1440"/>
              <w:jc w:val="both"/>
              <w:rPr>
                <w:rFonts w:ascii="Arial" w:hAnsi="Arial" w:cs="Arial"/>
                <w:b/>
                <w:sz w:val="24"/>
                <w:szCs w:val="24"/>
              </w:rPr>
            </w:pPr>
          </w:p>
          <w:p w:rsidR="00B72509" w:rsidRPr="00F911E0" w:rsidRDefault="00B72509" w:rsidP="00B72509">
            <w:pPr>
              <w:pStyle w:val="ListParagraph"/>
              <w:numPr>
                <w:ilvl w:val="0"/>
                <w:numId w:val="9"/>
              </w:numPr>
              <w:spacing w:after="160" w:line="360" w:lineRule="auto"/>
              <w:jc w:val="both"/>
              <w:rPr>
                <w:rFonts w:ascii="Arial" w:hAnsi="Arial" w:cs="Arial"/>
                <w:b/>
                <w:sz w:val="24"/>
                <w:szCs w:val="24"/>
              </w:rPr>
            </w:pPr>
            <w:r>
              <w:rPr>
                <w:rFonts w:ascii="Arial" w:hAnsi="Arial" w:cs="Arial"/>
                <w:b/>
                <w:sz w:val="24"/>
                <w:szCs w:val="24"/>
              </w:rPr>
              <w:t xml:space="preserve">Electronic mails (e-mails).  </w:t>
            </w:r>
            <w:r>
              <w:rPr>
                <w:rFonts w:ascii="Arial" w:hAnsi="Arial" w:cs="Arial"/>
                <w:sz w:val="24"/>
                <w:szCs w:val="24"/>
              </w:rPr>
              <w:t xml:space="preserve"> E-mails are a rich sources of information that may aid investigations. Although not directly linked to the case at issue, they may indicate the pressure, or opportunity and justification for fraudulent acts from the message tones. Employees email can be obtained from the corporate email saver.</w:t>
            </w:r>
          </w:p>
          <w:p w:rsidR="00B72509" w:rsidRPr="00F911E0" w:rsidRDefault="00B72509" w:rsidP="00B72509">
            <w:pPr>
              <w:pStyle w:val="ListParagraph"/>
              <w:rPr>
                <w:rFonts w:ascii="Arial" w:hAnsi="Arial" w:cs="Arial"/>
                <w:sz w:val="24"/>
                <w:szCs w:val="24"/>
              </w:rPr>
            </w:pPr>
          </w:p>
          <w:p w:rsidR="00B72509" w:rsidRDefault="00B72509" w:rsidP="00B72509">
            <w:pPr>
              <w:spacing w:line="360" w:lineRule="auto"/>
              <w:ind w:left="1080"/>
              <w:jc w:val="both"/>
              <w:rPr>
                <w:rFonts w:ascii="Arial" w:hAnsi="Arial" w:cs="Arial"/>
                <w:sz w:val="24"/>
                <w:szCs w:val="24"/>
              </w:rPr>
            </w:pPr>
            <w:r>
              <w:rPr>
                <w:rFonts w:ascii="Arial" w:hAnsi="Arial" w:cs="Arial"/>
                <w:sz w:val="24"/>
                <w:szCs w:val="24"/>
              </w:rPr>
              <w:t>Generally, there are three possible sources of documents and these are:</w:t>
            </w:r>
          </w:p>
          <w:p w:rsidR="00B72509" w:rsidRDefault="00B72509" w:rsidP="00B72509">
            <w:pPr>
              <w:spacing w:line="360" w:lineRule="auto"/>
              <w:ind w:left="1080"/>
              <w:jc w:val="both"/>
              <w:rPr>
                <w:rFonts w:ascii="Arial" w:hAnsi="Arial" w:cs="Arial"/>
                <w:sz w:val="24"/>
                <w:szCs w:val="24"/>
              </w:rPr>
            </w:pPr>
          </w:p>
          <w:p w:rsidR="00B72509" w:rsidRDefault="00B72509" w:rsidP="00B72509">
            <w:pPr>
              <w:pStyle w:val="ListParagraph"/>
              <w:numPr>
                <w:ilvl w:val="0"/>
                <w:numId w:val="10"/>
              </w:numPr>
              <w:spacing w:after="160" w:line="360" w:lineRule="auto"/>
              <w:ind w:left="1530"/>
              <w:jc w:val="both"/>
              <w:rPr>
                <w:rFonts w:ascii="Arial" w:hAnsi="Arial" w:cs="Arial"/>
                <w:sz w:val="24"/>
                <w:szCs w:val="24"/>
              </w:rPr>
            </w:pPr>
            <w:r>
              <w:rPr>
                <w:rFonts w:ascii="Arial" w:hAnsi="Arial" w:cs="Arial"/>
                <w:sz w:val="24"/>
                <w:szCs w:val="24"/>
              </w:rPr>
              <w:t>The aggrieved party/victim or complaint such as a vendor or former employee.</w:t>
            </w:r>
          </w:p>
          <w:p w:rsidR="00B72509" w:rsidRDefault="00B72509" w:rsidP="00B72509">
            <w:pPr>
              <w:pStyle w:val="ListParagraph"/>
              <w:numPr>
                <w:ilvl w:val="0"/>
                <w:numId w:val="10"/>
              </w:numPr>
              <w:spacing w:after="160" w:line="360" w:lineRule="auto"/>
              <w:ind w:left="1530"/>
              <w:jc w:val="both"/>
              <w:rPr>
                <w:rFonts w:ascii="Arial" w:hAnsi="Arial" w:cs="Arial"/>
                <w:sz w:val="24"/>
                <w:szCs w:val="24"/>
              </w:rPr>
            </w:pPr>
            <w:r>
              <w:rPr>
                <w:rFonts w:ascii="Arial" w:hAnsi="Arial" w:cs="Arial"/>
                <w:sz w:val="24"/>
                <w:szCs w:val="24"/>
              </w:rPr>
              <w:t>Third parties who may possess documentary evidence such as accountants.</w:t>
            </w:r>
          </w:p>
          <w:p w:rsidR="00B72509" w:rsidRDefault="00B72509" w:rsidP="00B72509">
            <w:pPr>
              <w:pStyle w:val="ListParagraph"/>
              <w:numPr>
                <w:ilvl w:val="0"/>
                <w:numId w:val="10"/>
              </w:numPr>
              <w:spacing w:after="160" w:line="360" w:lineRule="auto"/>
              <w:ind w:left="1530"/>
              <w:jc w:val="both"/>
              <w:rPr>
                <w:rFonts w:ascii="Arial" w:hAnsi="Arial" w:cs="Arial"/>
                <w:sz w:val="24"/>
                <w:szCs w:val="24"/>
              </w:rPr>
            </w:pPr>
            <w:r>
              <w:rPr>
                <w:rFonts w:ascii="Arial" w:hAnsi="Arial" w:cs="Arial"/>
                <w:sz w:val="24"/>
                <w:szCs w:val="24"/>
              </w:rPr>
              <w:t>Lastly evidence can be obtained from the suspect through probes by the investigator.</w:t>
            </w:r>
          </w:p>
          <w:p w:rsidR="00B72509" w:rsidRDefault="00B72509" w:rsidP="00B72509">
            <w:pPr>
              <w:spacing w:after="160" w:line="360" w:lineRule="auto"/>
              <w:jc w:val="both"/>
              <w:rPr>
                <w:rFonts w:ascii="Arial" w:hAnsi="Arial" w:cs="Arial"/>
                <w:sz w:val="24"/>
                <w:szCs w:val="24"/>
              </w:rPr>
            </w:pPr>
          </w:p>
          <w:p w:rsidR="00B72509" w:rsidRDefault="00B72509" w:rsidP="00B72509">
            <w:pPr>
              <w:spacing w:after="160" w:line="360" w:lineRule="auto"/>
              <w:jc w:val="both"/>
              <w:rPr>
                <w:rFonts w:ascii="Arial" w:hAnsi="Arial" w:cs="Arial"/>
                <w:sz w:val="24"/>
                <w:szCs w:val="24"/>
              </w:rPr>
            </w:pPr>
          </w:p>
          <w:p w:rsidR="00B72509" w:rsidRPr="00B72509" w:rsidRDefault="00B72509" w:rsidP="00B72509">
            <w:pPr>
              <w:spacing w:after="160" w:line="360" w:lineRule="auto"/>
              <w:jc w:val="both"/>
              <w:rPr>
                <w:rFonts w:ascii="Arial" w:hAnsi="Arial" w:cs="Arial"/>
                <w:sz w:val="24"/>
                <w:szCs w:val="24"/>
              </w:rPr>
            </w:pPr>
          </w:p>
          <w:p w:rsidR="00B72509" w:rsidRDefault="00B72509" w:rsidP="00B72509">
            <w:pPr>
              <w:spacing w:line="360" w:lineRule="auto"/>
              <w:ind w:left="720"/>
              <w:jc w:val="both"/>
              <w:rPr>
                <w:rFonts w:ascii="Arial" w:hAnsi="Arial" w:cs="Arial"/>
                <w:sz w:val="24"/>
                <w:szCs w:val="24"/>
              </w:rPr>
            </w:pPr>
          </w:p>
          <w:p w:rsidR="00B72509" w:rsidRDefault="00B72509" w:rsidP="00B7250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Evidence means an assertion of opinion, fact or knowledge and it can be either admissible or inadmissible and can also be material or immaterial. In other words, evidence is anything perceptible by the human sense. There are three basic forms of evidence and these are: testimonial, real and demonstrative evidence.</w:t>
            </w:r>
          </w:p>
          <w:p w:rsidR="00B72509" w:rsidRDefault="00B72509" w:rsidP="00B72509">
            <w:pPr>
              <w:spacing w:line="360" w:lineRule="auto"/>
              <w:ind w:left="720"/>
              <w:jc w:val="both"/>
              <w:rPr>
                <w:rFonts w:ascii="Arial" w:hAnsi="Arial" w:cs="Arial"/>
                <w:sz w:val="24"/>
                <w:szCs w:val="24"/>
              </w:rPr>
            </w:pPr>
            <w:r w:rsidRPr="00050875">
              <w:rPr>
                <w:rFonts w:ascii="Arial" w:hAnsi="Arial" w:cs="Arial"/>
                <w:b/>
                <w:sz w:val="24"/>
                <w:szCs w:val="24"/>
              </w:rPr>
              <w:t>Testimonial evidence</w:t>
            </w:r>
            <w:r>
              <w:rPr>
                <w:rFonts w:ascii="Arial" w:hAnsi="Arial" w:cs="Arial"/>
                <w:sz w:val="24"/>
                <w:szCs w:val="24"/>
              </w:rPr>
              <w:t xml:space="preserve"> refers to oral statements made by witnesses under oath and witnesses can further be sub-divided into lay (fact) witness and expert witness. Lay witnesses are non-experts who testifies on personal knowledge about an issue that is what they have actually perceived. Expert witnesses such as forensic accountants are qualified to render an opinion by reason of their skill, education, training or experience. </w:t>
            </w: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 xml:space="preserve"> </w:t>
            </w:r>
            <w:r w:rsidRPr="00050875">
              <w:rPr>
                <w:rFonts w:ascii="Arial" w:hAnsi="Arial" w:cs="Arial"/>
                <w:b/>
                <w:sz w:val="24"/>
                <w:szCs w:val="24"/>
              </w:rPr>
              <w:t xml:space="preserve">Real evidence </w:t>
            </w:r>
            <w:r>
              <w:rPr>
                <w:rFonts w:ascii="Arial" w:hAnsi="Arial" w:cs="Arial"/>
                <w:sz w:val="24"/>
                <w:szCs w:val="24"/>
              </w:rPr>
              <w:t>encompasses all physical objects that played a role in the case being litigated. For murder cases it might include a gun, stone or knife used to kill a person while for financial crimes it includes cheques, invoices and legers used in the commission of a crime. A computer and a printer used to create a questioned document qualifies as real evidence.</w:t>
            </w:r>
          </w:p>
          <w:p w:rsidR="00B72509" w:rsidRDefault="00B72509" w:rsidP="00B72509">
            <w:pPr>
              <w:spacing w:line="360" w:lineRule="auto"/>
              <w:ind w:left="720"/>
              <w:jc w:val="both"/>
              <w:rPr>
                <w:rFonts w:ascii="Arial" w:hAnsi="Arial" w:cs="Arial"/>
                <w:b/>
                <w:sz w:val="24"/>
                <w:szCs w:val="24"/>
              </w:rPr>
            </w:pPr>
          </w:p>
          <w:p w:rsidR="00B72509" w:rsidRDefault="00B72509" w:rsidP="00B72509">
            <w:pPr>
              <w:spacing w:line="360" w:lineRule="auto"/>
              <w:ind w:left="720"/>
              <w:jc w:val="both"/>
              <w:rPr>
                <w:rFonts w:ascii="Arial" w:hAnsi="Arial" w:cs="Arial"/>
                <w:sz w:val="24"/>
                <w:szCs w:val="24"/>
              </w:rPr>
            </w:pPr>
            <w:r w:rsidRPr="00DC5B60">
              <w:rPr>
                <w:rFonts w:ascii="Arial" w:hAnsi="Arial" w:cs="Arial"/>
                <w:b/>
                <w:sz w:val="24"/>
                <w:szCs w:val="24"/>
              </w:rPr>
              <w:t>Demonstrative evidence</w:t>
            </w:r>
            <w:r>
              <w:rPr>
                <w:rFonts w:ascii="Arial" w:hAnsi="Arial" w:cs="Arial"/>
                <w:b/>
                <w:sz w:val="24"/>
                <w:szCs w:val="24"/>
              </w:rPr>
              <w:t xml:space="preserve"> </w:t>
            </w:r>
            <w:r>
              <w:rPr>
                <w:rFonts w:ascii="Arial" w:hAnsi="Arial" w:cs="Arial"/>
                <w:sz w:val="24"/>
                <w:szCs w:val="24"/>
              </w:rPr>
              <w:t>is a tangible item that in itself is not part of trial but is prepared to give a visual impression of matters at issue such as a map, photograph or organizational chart.</w:t>
            </w:r>
          </w:p>
          <w:p w:rsidR="00B72509" w:rsidRDefault="00B72509" w:rsidP="00B72509">
            <w:pPr>
              <w:spacing w:line="360" w:lineRule="auto"/>
              <w:ind w:left="720"/>
              <w:jc w:val="both"/>
              <w:rPr>
                <w:rFonts w:ascii="Arial" w:hAnsi="Arial" w:cs="Arial"/>
                <w:b/>
                <w:sz w:val="24"/>
                <w:szCs w:val="24"/>
              </w:rPr>
            </w:pPr>
          </w:p>
          <w:p w:rsidR="00B72509" w:rsidRDefault="00B72509" w:rsidP="00B72509">
            <w:pPr>
              <w:spacing w:line="360" w:lineRule="auto"/>
              <w:ind w:left="720"/>
              <w:jc w:val="both"/>
              <w:rPr>
                <w:rFonts w:ascii="Arial" w:hAnsi="Arial" w:cs="Arial"/>
                <w:sz w:val="24"/>
                <w:szCs w:val="24"/>
              </w:rPr>
            </w:pPr>
            <w:r w:rsidRPr="00DC5B60">
              <w:rPr>
                <w:rFonts w:ascii="Arial" w:hAnsi="Arial" w:cs="Arial"/>
                <w:sz w:val="24"/>
                <w:szCs w:val="24"/>
              </w:rPr>
              <w:t>Evidence that is admissible in financial crimes investigations can further be divided into direct and circumstantial evidence.</w:t>
            </w:r>
            <w:r>
              <w:rPr>
                <w:rFonts w:ascii="Arial" w:hAnsi="Arial" w:cs="Arial"/>
                <w:sz w:val="24"/>
                <w:szCs w:val="24"/>
              </w:rPr>
              <w:t xml:space="preserve"> Direct evidence proves an issue directly such as a confession by a suspect or an eyewitness testimony. A statement by X that, “I stole sales receipts amounting to $500.00 “or a testimony by Y who may say “I saw X stealing $500.00 from the cash drawer” are considered direct evidence</w:t>
            </w:r>
          </w:p>
          <w:p w:rsidR="00B72509" w:rsidRDefault="00B72509" w:rsidP="00B72509">
            <w:pPr>
              <w:spacing w:line="360" w:lineRule="auto"/>
              <w:ind w:left="720"/>
              <w:jc w:val="both"/>
              <w:rPr>
                <w:rFonts w:ascii="Arial" w:hAnsi="Arial" w:cs="Arial"/>
                <w:sz w:val="24"/>
                <w:szCs w:val="24"/>
              </w:rPr>
            </w:pPr>
            <w:r>
              <w:rPr>
                <w:rFonts w:ascii="Arial" w:hAnsi="Arial" w:cs="Arial"/>
                <w:sz w:val="24"/>
                <w:szCs w:val="24"/>
              </w:rPr>
              <w:t>On the other hand, circumstantial evidence proves or disproves an issue indirectly by inference. Financial crimes are mostly proven by circumstantial evidence. The forensic expert may say, “In my opinion, based on the investigations carried out, X stole the money from the cash drawer”.</w:t>
            </w:r>
          </w:p>
          <w:p w:rsidR="00B72509" w:rsidRDefault="00B72509" w:rsidP="00B72509">
            <w:pPr>
              <w:spacing w:line="360" w:lineRule="auto"/>
              <w:jc w:val="both"/>
              <w:rPr>
                <w:rFonts w:ascii="Arial" w:hAnsi="Arial" w:cs="Arial"/>
                <w:sz w:val="24"/>
                <w:szCs w:val="24"/>
              </w:rPr>
            </w:pPr>
          </w:p>
          <w:p w:rsidR="00B72509" w:rsidRDefault="00B72509" w:rsidP="00B7250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lastRenderedPageBreak/>
              <w:t>Evidence in financial crimes is quite different from evidence gathered for other non-financial crimes such as robbery and murder. The composition of real evidence is quite different between the two classes of crimes. Real evidence for non-financial cases is usually made up of fingerprints, guns knives, iron bars while in financial crimes the real evidence is made up of documentary evidence.</w:t>
            </w:r>
          </w:p>
          <w:p w:rsidR="00B72509" w:rsidRDefault="00B72509" w:rsidP="00B72509">
            <w:pPr>
              <w:pStyle w:val="ListParagraph"/>
              <w:spacing w:line="360" w:lineRule="auto"/>
              <w:jc w:val="both"/>
              <w:rPr>
                <w:rFonts w:ascii="Arial" w:hAnsi="Arial" w:cs="Arial"/>
                <w:sz w:val="24"/>
                <w:szCs w:val="24"/>
              </w:rPr>
            </w:pPr>
          </w:p>
          <w:p w:rsidR="00B72509" w:rsidRDefault="00B72509" w:rsidP="00B72509">
            <w:pPr>
              <w:pStyle w:val="ListParagraph"/>
              <w:spacing w:line="360" w:lineRule="auto"/>
              <w:jc w:val="both"/>
              <w:rPr>
                <w:rFonts w:ascii="Arial" w:hAnsi="Arial" w:cs="Arial"/>
                <w:sz w:val="24"/>
                <w:szCs w:val="24"/>
              </w:rPr>
            </w:pPr>
            <w:r>
              <w:rPr>
                <w:rFonts w:ascii="Arial" w:hAnsi="Arial" w:cs="Arial"/>
                <w:sz w:val="24"/>
                <w:szCs w:val="24"/>
              </w:rPr>
              <w:t>Another difference between the two crimes is in the amount of documentary evidence for a given case. Non-financial crimes such as murder will have few documentary evidence for example documents amounting to 500 will be too much for non- financial crimes while on the other hand financial crimes are documents heavy, meaning that documents amounting to 500 in a financial crime would be considered normal.</w:t>
            </w:r>
          </w:p>
          <w:p w:rsidR="00B72509" w:rsidRDefault="00B72509" w:rsidP="00B72509">
            <w:pPr>
              <w:pStyle w:val="ListParagraph"/>
              <w:spacing w:line="360" w:lineRule="auto"/>
              <w:jc w:val="both"/>
              <w:rPr>
                <w:rFonts w:ascii="Arial" w:hAnsi="Arial" w:cs="Arial"/>
                <w:sz w:val="24"/>
                <w:szCs w:val="24"/>
              </w:rPr>
            </w:pPr>
          </w:p>
          <w:p w:rsidR="00B72509" w:rsidRDefault="00B72509" w:rsidP="00B72509">
            <w:pPr>
              <w:pStyle w:val="ListParagraph"/>
              <w:spacing w:line="360" w:lineRule="auto"/>
              <w:jc w:val="both"/>
              <w:rPr>
                <w:rFonts w:ascii="Arial" w:hAnsi="Arial" w:cs="Arial"/>
                <w:sz w:val="24"/>
                <w:szCs w:val="24"/>
              </w:rPr>
            </w:pPr>
            <w:r>
              <w:rPr>
                <w:rFonts w:ascii="Arial" w:hAnsi="Arial" w:cs="Arial"/>
                <w:sz w:val="24"/>
                <w:szCs w:val="24"/>
              </w:rPr>
              <w:t>Non-financial crimes can be proven by direct evidence alone or in combination with circumstantial evidence though to a lesser extent. Financial crime is seldom proven by direct evidence alone. In actual fact most financial crimes are proven by circumstantial alone.</w:t>
            </w:r>
          </w:p>
          <w:p w:rsidR="00B72509" w:rsidRDefault="00B72509" w:rsidP="00B72509">
            <w:pPr>
              <w:pStyle w:val="ListParagraph"/>
              <w:spacing w:line="360" w:lineRule="auto"/>
              <w:jc w:val="both"/>
              <w:rPr>
                <w:rFonts w:ascii="Arial" w:hAnsi="Arial" w:cs="Arial"/>
                <w:sz w:val="24"/>
                <w:szCs w:val="24"/>
              </w:rPr>
            </w:pPr>
          </w:p>
          <w:p w:rsidR="00B72509" w:rsidRDefault="00B72509" w:rsidP="00B72509">
            <w:pPr>
              <w:pStyle w:val="ListParagraph"/>
              <w:spacing w:line="360" w:lineRule="auto"/>
              <w:jc w:val="both"/>
              <w:rPr>
                <w:rFonts w:ascii="Arial" w:hAnsi="Arial" w:cs="Arial"/>
                <w:sz w:val="24"/>
                <w:szCs w:val="24"/>
              </w:rPr>
            </w:pPr>
            <w:r>
              <w:rPr>
                <w:rFonts w:ascii="Arial" w:hAnsi="Arial" w:cs="Arial"/>
                <w:sz w:val="24"/>
                <w:szCs w:val="24"/>
              </w:rPr>
              <w:t xml:space="preserve">Expert testimony tend to play a major role in the prosecution for financial crimes such as money laundering and fraud. Non-financial crimes can be prosecuted without any use of experts or may require them but on very rare cases while financial crimes can hardly proceed without forensic accountants. </w:t>
            </w:r>
          </w:p>
          <w:p w:rsidR="00B72509" w:rsidRDefault="00B72509" w:rsidP="00B72509">
            <w:pPr>
              <w:pStyle w:val="ListParagraph"/>
              <w:spacing w:line="360" w:lineRule="auto"/>
              <w:jc w:val="both"/>
              <w:rPr>
                <w:rFonts w:ascii="Arial" w:hAnsi="Arial" w:cs="Arial"/>
                <w:sz w:val="24"/>
                <w:szCs w:val="24"/>
              </w:rPr>
            </w:pPr>
          </w:p>
          <w:p w:rsidR="00B72509" w:rsidRPr="00176E06" w:rsidRDefault="00B72509" w:rsidP="00B72509">
            <w:pPr>
              <w:pStyle w:val="ListParagraph"/>
              <w:spacing w:line="360" w:lineRule="auto"/>
              <w:jc w:val="both"/>
              <w:rPr>
                <w:rFonts w:ascii="Arial" w:hAnsi="Arial" w:cs="Arial"/>
                <w:sz w:val="24"/>
                <w:szCs w:val="24"/>
              </w:rPr>
            </w:pPr>
            <w:r>
              <w:rPr>
                <w:rFonts w:ascii="Arial" w:hAnsi="Arial" w:cs="Arial"/>
                <w:sz w:val="24"/>
                <w:szCs w:val="24"/>
              </w:rPr>
              <w:t>Witnesses and complainants in financial crimes are likely to have worked with the subject in one way or the other in the past. The past experiences with the subject are likely to affect witness testimony.  In most cases suspects and complainants in non-financial crimes are unlikely to have met before. If for example A and B worked together before and A being superior to B ill-treated him at work. If allegations of fraud are leveled against A and B is called to testify, he is likely to testify badly against A based on their previous relations.</w:t>
            </w:r>
          </w:p>
          <w:p w:rsidR="00BF2017" w:rsidRPr="00CC2FB3" w:rsidRDefault="00BF2017"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27"/>
        <w:gridCol w:w="1245"/>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D101E" w:rsidRPr="000C2035" w:rsidRDefault="00D96108" w:rsidP="00A851DA">
            <w:pPr>
              <w:rPr>
                <w:rFonts w:ascii="Arial" w:hAnsi="Arial" w:cs="Arial"/>
                <w:color w:val="000000"/>
              </w:rPr>
            </w:pPr>
            <w:r w:rsidRPr="000C2035">
              <w:rPr>
                <w:rFonts w:ascii="Arial" w:hAnsi="Arial" w:cs="Arial"/>
                <w:color w:val="000000"/>
                <w:sz w:val="24"/>
              </w:rPr>
              <w:t>Aleck Mandivengerei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2509" w:rsidP="00A851DA">
            <w:pPr>
              <w:rPr>
                <w:rFonts w:cs="Bliss-Regular"/>
                <w:color w:val="000000"/>
              </w:rPr>
            </w:pPr>
            <w:r>
              <w:rPr>
                <w:rFonts w:cs="Bliss-Regular"/>
                <w:color w:val="000000"/>
              </w:rPr>
              <w:t>17/03/16</w:t>
            </w:r>
            <w:bookmarkStart w:id="0" w:name="_GoBack"/>
            <w:bookmarkEnd w:id="0"/>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F2017">
      <w:pPr>
        <w:rPr>
          <w:rFonts w:cs="Times New Roman"/>
          <w:sz w:val="24"/>
          <w:szCs w:val="32"/>
        </w:rPr>
      </w:pPr>
    </w:p>
    <w:sectPr w:rsidR="00A851DA" w:rsidSect="00BF2017">
      <w:pgSz w:w="11906" w:h="16838"/>
      <w:pgMar w:top="90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F9E" w:rsidRDefault="004F1F9E" w:rsidP="00CB4D0A">
      <w:pPr>
        <w:spacing w:after="0" w:line="240" w:lineRule="auto"/>
      </w:pPr>
      <w:r>
        <w:separator/>
      </w:r>
    </w:p>
  </w:endnote>
  <w:endnote w:type="continuationSeparator" w:id="0">
    <w:p w:rsidR="004F1F9E" w:rsidRDefault="004F1F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F9E" w:rsidRDefault="004F1F9E" w:rsidP="00CB4D0A">
      <w:pPr>
        <w:spacing w:after="0" w:line="240" w:lineRule="auto"/>
      </w:pPr>
      <w:r>
        <w:separator/>
      </w:r>
    </w:p>
  </w:footnote>
  <w:footnote w:type="continuationSeparator" w:id="0">
    <w:p w:rsidR="004F1F9E" w:rsidRDefault="004F1F9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5FAE"/>
    <w:multiLevelType w:val="hybridMultilevel"/>
    <w:tmpl w:val="CE1A73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9904A4"/>
    <w:multiLevelType w:val="hybridMultilevel"/>
    <w:tmpl w:val="55F03A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F011C8E"/>
    <w:multiLevelType w:val="hybridMultilevel"/>
    <w:tmpl w:val="51E639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97B15BA"/>
    <w:multiLevelType w:val="hybridMultilevel"/>
    <w:tmpl w:val="257C5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4B7DCD"/>
    <w:multiLevelType w:val="hybridMultilevel"/>
    <w:tmpl w:val="E62CD92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EBB4EDC"/>
    <w:multiLevelType w:val="hybridMultilevel"/>
    <w:tmpl w:val="48B2693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06B4A"/>
    <w:multiLevelType w:val="hybridMultilevel"/>
    <w:tmpl w:val="5FB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BB4592"/>
    <w:multiLevelType w:val="hybridMultilevel"/>
    <w:tmpl w:val="7BEA6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F3D4FD8"/>
    <w:multiLevelType w:val="hybridMultilevel"/>
    <w:tmpl w:val="C1C685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7"/>
  </w:num>
  <w:num w:numId="2">
    <w:abstractNumId w:val="6"/>
  </w:num>
  <w:num w:numId="3">
    <w:abstractNumId w:val="8"/>
  </w:num>
  <w:num w:numId="4">
    <w:abstractNumId w:val="4"/>
  </w:num>
  <w:num w:numId="5">
    <w:abstractNumId w:val="5"/>
  </w:num>
  <w:num w:numId="6">
    <w:abstractNumId w:val="3"/>
  </w:num>
  <w:num w:numId="7">
    <w:abstractNumId w:val="2"/>
  </w:num>
  <w:num w:numId="8">
    <w:abstractNumId w:val="0"/>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035"/>
    <w:rsid w:val="001175EE"/>
    <w:rsid w:val="00140965"/>
    <w:rsid w:val="00157CF6"/>
    <w:rsid w:val="00182416"/>
    <w:rsid w:val="00187EB4"/>
    <w:rsid w:val="001F0481"/>
    <w:rsid w:val="00200C92"/>
    <w:rsid w:val="0020451E"/>
    <w:rsid w:val="00206B9D"/>
    <w:rsid w:val="0023259C"/>
    <w:rsid w:val="00264580"/>
    <w:rsid w:val="002B0BD7"/>
    <w:rsid w:val="002B573D"/>
    <w:rsid w:val="002C5CB2"/>
    <w:rsid w:val="002F779F"/>
    <w:rsid w:val="003121C2"/>
    <w:rsid w:val="00371885"/>
    <w:rsid w:val="003E2B87"/>
    <w:rsid w:val="00402786"/>
    <w:rsid w:val="00405895"/>
    <w:rsid w:val="004058DF"/>
    <w:rsid w:val="00443E6F"/>
    <w:rsid w:val="00486F1A"/>
    <w:rsid w:val="00490CB9"/>
    <w:rsid w:val="004A2CE2"/>
    <w:rsid w:val="004B114C"/>
    <w:rsid w:val="004E3CDA"/>
    <w:rsid w:val="004F1F9E"/>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4B3A"/>
    <w:rsid w:val="008D55A2"/>
    <w:rsid w:val="00933838"/>
    <w:rsid w:val="00935BF7"/>
    <w:rsid w:val="0095442C"/>
    <w:rsid w:val="00983942"/>
    <w:rsid w:val="009C37E0"/>
    <w:rsid w:val="009E41F4"/>
    <w:rsid w:val="00A14B66"/>
    <w:rsid w:val="00A65CF7"/>
    <w:rsid w:val="00A81AB4"/>
    <w:rsid w:val="00A851DA"/>
    <w:rsid w:val="00AC7D5B"/>
    <w:rsid w:val="00AE1481"/>
    <w:rsid w:val="00B0415E"/>
    <w:rsid w:val="00B04678"/>
    <w:rsid w:val="00B72509"/>
    <w:rsid w:val="00BC46DF"/>
    <w:rsid w:val="00BD101E"/>
    <w:rsid w:val="00BF2017"/>
    <w:rsid w:val="00C03577"/>
    <w:rsid w:val="00C53029"/>
    <w:rsid w:val="00C65FEA"/>
    <w:rsid w:val="00CA0AC2"/>
    <w:rsid w:val="00CB4D0A"/>
    <w:rsid w:val="00CC2FB3"/>
    <w:rsid w:val="00CC575A"/>
    <w:rsid w:val="00CD3049"/>
    <w:rsid w:val="00CF123B"/>
    <w:rsid w:val="00D039AC"/>
    <w:rsid w:val="00D427DE"/>
    <w:rsid w:val="00D5587D"/>
    <w:rsid w:val="00D707CC"/>
    <w:rsid w:val="00D73183"/>
    <w:rsid w:val="00D821FE"/>
    <w:rsid w:val="00D96108"/>
    <w:rsid w:val="00DB0793"/>
    <w:rsid w:val="00E00821"/>
    <w:rsid w:val="00E04DB4"/>
    <w:rsid w:val="00E1331A"/>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898E0"/>
  <w15:docId w15:val="{44AF02C4-72DF-4BCD-B72A-3279294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C669B-D3ED-4976-B041-741D6215E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8</Pages>
  <Words>1954</Words>
  <Characters>11140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10</cp:revision>
  <dcterms:created xsi:type="dcterms:W3CDTF">2016-03-03T04:47:00Z</dcterms:created>
  <dcterms:modified xsi:type="dcterms:W3CDTF">2016-03-17T09:29:00Z</dcterms:modified>
</cp:coreProperties>
</file>