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97670"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A9767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97670" w:rsidRDefault="00A851DA">
            <w:pPr>
              <w:rPr>
                <w:color w:val="002060"/>
              </w:rPr>
            </w:pPr>
            <w:r w:rsidRPr="00A97670">
              <w:rPr>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97670" w:rsidRDefault="00A97670" w:rsidP="00A97670">
            <w:pPr>
              <w:pStyle w:val="Default"/>
              <w:rPr>
                <w:rFonts w:asciiTheme="minorHAnsi" w:hAnsiTheme="minorHAnsi"/>
                <w:b/>
              </w:rPr>
            </w:pPr>
            <w:r w:rsidRPr="00A97670">
              <w:rPr>
                <w:rFonts w:asciiTheme="minorHAnsi" w:hAnsiTheme="minorHAnsi"/>
                <w:b/>
              </w:rPr>
              <w:t xml:space="preserve">ALICE MACHARIA </w:t>
            </w:r>
          </w:p>
        </w:tc>
      </w:tr>
      <w:tr w:rsidR="00A851DA" w:rsidRPr="00A9767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97670" w:rsidRDefault="00A851DA">
            <w:pPr>
              <w:rPr>
                <w:color w:val="002060"/>
              </w:rPr>
            </w:pPr>
            <w:r w:rsidRPr="00A97670">
              <w:rPr>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A97670" w:rsidRDefault="00A851DA">
            <w:pPr>
              <w:pStyle w:val="Default"/>
              <w:rPr>
                <w:rFonts w:asciiTheme="minorHAnsi" w:hAnsiTheme="minorHAnsi"/>
              </w:rPr>
            </w:pPr>
          </w:p>
        </w:tc>
      </w:tr>
      <w:tr w:rsidR="00A851DA" w:rsidRPr="00A9767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97670" w:rsidRDefault="00A851DA">
            <w:pPr>
              <w:rPr>
                <w:color w:val="002060"/>
              </w:rPr>
            </w:pPr>
            <w:r w:rsidRPr="00A97670">
              <w:rPr>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97670" w:rsidRDefault="00A97670">
            <w:pPr>
              <w:pStyle w:val="Default"/>
              <w:rPr>
                <w:rFonts w:asciiTheme="minorHAnsi" w:hAnsiTheme="minorHAnsi"/>
                <w:b/>
              </w:rPr>
            </w:pPr>
            <w:r w:rsidRPr="00A97670">
              <w:rPr>
                <w:rFonts w:asciiTheme="minorHAnsi" w:hAnsiTheme="minorHAnsi"/>
                <w:b/>
              </w:rPr>
              <w:t>Project Risk Management</w:t>
            </w:r>
          </w:p>
        </w:tc>
      </w:tr>
      <w:tr w:rsidR="00A851DA" w:rsidRPr="00A9767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97670" w:rsidRDefault="00A851DA">
            <w:pPr>
              <w:rPr>
                <w:color w:val="002060"/>
              </w:rPr>
            </w:pPr>
            <w:r w:rsidRPr="00A97670">
              <w:rPr>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97670" w:rsidRDefault="00A97670">
            <w:pPr>
              <w:rPr>
                <w:b/>
              </w:rPr>
            </w:pPr>
            <w:r w:rsidRPr="00A97670">
              <w:rPr>
                <w:b/>
              </w:rPr>
              <w:t>11</w:t>
            </w:r>
          </w:p>
        </w:tc>
      </w:tr>
    </w:tbl>
    <w:p w:rsidR="00A851DA" w:rsidRPr="00A97670" w:rsidRDefault="00A851DA" w:rsidP="00A851DA">
      <w:pPr>
        <w:rPr>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bookmarkStart w:id="0" w:name="_GoBack"/>
      <w:bookmarkEnd w:id="0"/>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A97670" w:rsidRPr="00A97670" w:rsidRDefault="00A97670" w:rsidP="00A97670">
      <w:pPr>
        <w:spacing w:after="160" w:line="259" w:lineRule="auto"/>
        <w:jc w:val="both"/>
        <w:rPr>
          <w:rFonts w:ascii="Arial" w:eastAsia="Calibri" w:hAnsi="Arial" w:cs="Arial"/>
          <w:b/>
          <w:bCs/>
          <w:sz w:val="24"/>
          <w:szCs w:val="24"/>
          <w:lang w:val="en-US"/>
        </w:rPr>
      </w:pPr>
      <w:r w:rsidRPr="00A97670">
        <w:rPr>
          <w:rFonts w:ascii="Arial" w:eastAsia="Calibri" w:hAnsi="Arial" w:cs="Arial"/>
          <w:b/>
          <w:bCs/>
          <w:sz w:val="24"/>
          <w:szCs w:val="24"/>
          <w:lang w:val="en-US"/>
        </w:rPr>
        <w:lastRenderedPageBreak/>
        <w:t>Project Risk Management</w:t>
      </w:r>
    </w:p>
    <w:p w:rsidR="00A97670" w:rsidRPr="00A97670" w:rsidRDefault="00A97670" w:rsidP="00A97670">
      <w:pPr>
        <w:spacing w:after="160" w:line="259" w:lineRule="auto"/>
        <w:jc w:val="both"/>
        <w:rPr>
          <w:rFonts w:ascii="Arial" w:eastAsia="Calibri" w:hAnsi="Arial" w:cs="Arial"/>
          <w:sz w:val="24"/>
          <w:szCs w:val="24"/>
          <w:lang w:val="en-US"/>
        </w:rPr>
      </w:pPr>
      <w:r w:rsidRPr="00A97670">
        <w:rPr>
          <w:rFonts w:ascii="Arial" w:eastAsia="Calibri" w:hAnsi="Arial" w:cs="Arial"/>
          <w:sz w:val="24"/>
          <w:szCs w:val="24"/>
          <w:lang w:val="en-US"/>
        </w:rPr>
        <w:t>Unit 11 Brentwood Open Learning College Page 1</w:t>
      </w:r>
    </w:p>
    <w:p w:rsidR="00A97670" w:rsidRPr="00A97670" w:rsidRDefault="00A97670" w:rsidP="00A97670">
      <w:pPr>
        <w:spacing w:after="160" w:line="259" w:lineRule="auto"/>
        <w:jc w:val="both"/>
        <w:rPr>
          <w:rFonts w:ascii="Arial" w:eastAsia="Calibri" w:hAnsi="Arial" w:cs="Arial"/>
          <w:b/>
          <w:bCs/>
          <w:sz w:val="24"/>
          <w:szCs w:val="24"/>
          <w:lang w:val="en-US"/>
        </w:rPr>
      </w:pPr>
      <w:r w:rsidRPr="00A97670">
        <w:rPr>
          <w:rFonts w:ascii="Arial" w:eastAsia="Calibri" w:hAnsi="Arial" w:cs="Arial"/>
          <w:b/>
          <w:bCs/>
          <w:sz w:val="24"/>
          <w:szCs w:val="24"/>
          <w:lang w:val="en-US"/>
        </w:rPr>
        <w:t>Assessment 11 Total Marks: 30</w:t>
      </w:r>
    </w:p>
    <w:p w:rsidR="00A97670" w:rsidRPr="00A97670" w:rsidRDefault="00A97670" w:rsidP="00A97670">
      <w:pPr>
        <w:spacing w:after="160" w:line="259" w:lineRule="auto"/>
        <w:jc w:val="both"/>
        <w:rPr>
          <w:rFonts w:ascii="Arial" w:eastAsia="Calibri" w:hAnsi="Arial" w:cs="Arial"/>
          <w:sz w:val="24"/>
          <w:szCs w:val="24"/>
          <w:lang w:val="en-US"/>
        </w:rPr>
      </w:pPr>
      <w:r w:rsidRPr="00A97670">
        <w:rPr>
          <w:rFonts w:ascii="Arial" w:eastAsia="Calibri" w:hAnsi="Arial" w:cs="Arial"/>
          <w:sz w:val="24"/>
          <w:szCs w:val="24"/>
          <w:lang w:val="en-US"/>
        </w:rPr>
        <w:t>1. Give short answers for the following questions: (16)</w:t>
      </w:r>
    </w:p>
    <w:p w:rsidR="00A97670" w:rsidRPr="00A97670" w:rsidRDefault="00A97670" w:rsidP="00A97670">
      <w:pPr>
        <w:spacing w:after="160" w:line="259" w:lineRule="auto"/>
        <w:jc w:val="both"/>
        <w:rPr>
          <w:rFonts w:ascii="Arial" w:eastAsia="Calibri" w:hAnsi="Arial" w:cs="Arial"/>
          <w:b/>
          <w:sz w:val="24"/>
          <w:szCs w:val="24"/>
          <w:lang w:val="en-US"/>
        </w:rPr>
      </w:pPr>
      <w:r w:rsidRPr="00A97670">
        <w:rPr>
          <w:rFonts w:ascii="Arial" w:eastAsia="Calibri" w:hAnsi="Arial" w:cs="Arial"/>
          <w:sz w:val="24"/>
          <w:szCs w:val="24"/>
          <w:lang w:val="en-US"/>
        </w:rPr>
        <w:t>I</w:t>
      </w:r>
      <w:r w:rsidRPr="00A97670">
        <w:rPr>
          <w:rFonts w:ascii="Arial" w:eastAsia="Calibri" w:hAnsi="Arial" w:cs="Arial"/>
          <w:b/>
          <w:sz w:val="24"/>
          <w:szCs w:val="24"/>
          <w:lang w:val="en-US"/>
        </w:rPr>
        <w:t>. Which processes are involved in project risk management?</w:t>
      </w:r>
    </w:p>
    <w:p w:rsidR="00A97670" w:rsidRPr="00A97670" w:rsidRDefault="00A97670" w:rsidP="00A97670">
      <w:pPr>
        <w:spacing w:after="160" w:line="259" w:lineRule="auto"/>
        <w:jc w:val="both"/>
        <w:rPr>
          <w:rFonts w:ascii="Arial" w:eastAsia="Calibri" w:hAnsi="Arial" w:cs="Arial"/>
          <w:b/>
          <w:sz w:val="24"/>
          <w:szCs w:val="24"/>
          <w:lang w:val="en-US"/>
        </w:rPr>
      </w:pPr>
      <w:r w:rsidRPr="00A97670">
        <w:rPr>
          <w:rFonts w:ascii="Arial" w:eastAsia="Calibri" w:hAnsi="Arial" w:cs="Arial"/>
          <w:b/>
          <w:sz w:val="24"/>
          <w:szCs w:val="24"/>
          <w:lang w:val="en-US"/>
        </w:rPr>
        <w:t>The process involved in the project risk management is as follows:</w:t>
      </w:r>
    </w:p>
    <w:p w:rsidR="00A97670" w:rsidRPr="00A97670" w:rsidRDefault="00A97670" w:rsidP="00A97670">
      <w:pPr>
        <w:numPr>
          <w:ilvl w:val="0"/>
          <w:numId w:val="2"/>
        </w:numPr>
        <w:spacing w:after="160" w:line="259" w:lineRule="auto"/>
        <w:contextualSpacing/>
        <w:jc w:val="both"/>
        <w:rPr>
          <w:rFonts w:ascii="Arial" w:eastAsia="Calibri" w:hAnsi="Arial" w:cs="Arial"/>
          <w:sz w:val="24"/>
          <w:szCs w:val="24"/>
          <w:lang w:val="en-US"/>
        </w:rPr>
      </w:pPr>
      <w:r w:rsidRPr="00A97670">
        <w:rPr>
          <w:rFonts w:ascii="Arial" w:eastAsia="Calibri" w:hAnsi="Arial" w:cs="Arial"/>
          <w:sz w:val="24"/>
          <w:szCs w:val="24"/>
          <w:lang w:val="en-US"/>
        </w:rPr>
        <w:t xml:space="preserve">Risk Management Planning – Deciding how to approach, plan, and execute the risk management activities for a project. </w:t>
      </w:r>
    </w:p>
    <w:p w:rsidR="00A97670" w:rsidRPr="00A97670" w:rsidRDefault="00A97670" w:rsidP="00A97670">
      <w:pPr>
        <w:numPr>
          <w:ilvl w:val="0"/>
          <w:numId w:val="2"/>
        </w:numPr>
        <w:spacing w:after="160" w:line="259" w:lineRule="auto"/>
        <w:contextualSpacing/>
        <w:jc w:val="both"/>
        <w:rPr>
          <w:rFonts w:ascii="Arial" w:eastAsia="Calibri" w:hAnsi="Arial" w:cs="Arial"/>
          <w:sz w:val="24"/>
          <w:szCs w:val="24"/>
          <w:lang w:val="en-US"/>
        </w:rPr>
      </w:pPr>
      <w:r w:rsidRPr="00A97670">
        <w:rPr>
          <w:rFonts w:ascii="Arial" w:eastAsia="Calibri" w:hAnsi="Arial" w:cs="Arial"/>
          <w:sz w:val="24"/>
          <w:szCs w:val="24"/>
          <w:lang w:val="en-US"/>
        </w:rPr>
        <w:t xml:space="preserve">2. Risk Identification – Determining which risks might affect the project and documenting their characteristics. </w:t>
      </w:r>
    </w:p>
    <w:p w:rsidR="00A97670" w:rsidRPr="00A97670" w:rsidRDefault="00A97670" w:rsidP="00A97670">
      <w:pPr>
        <w:numPr>
          <w:ilvl w:val="0"/>
          <w:numId w:val="2"/>
        </w:numPr>
        <w:spacing w:after="160" w:line="259" w:lineRule="auto"/>
        <w:contextualSpacing/>
        <w:jc w:val="both"/>
        <w:rPr>
          <w:rFonts w:ascii="Arial" w:eastAsia="Calibri" w:hAnsi="Arial" w:cs="Arial"/>
          <w:sz w:val="24"/>
          <w:szCs w:val="24"/>
          <w:lang w:val="en-US"/>
        </w:rPr>
      </w:pPr>
      <w:r w:rsidRPr="00A97670">
        <w:rPr>
          <w:rFonts w:ascii="Arial" w:eastAsia="Calibri" w:hAnsi="Arial" w:cs="Arial"/>
          <w:sz w:val="24"/>
          <w:szCs w:val="24"/>
          <w:lang w:val="en-US"/>
        </w:rPr>
        <w:t xml:space="preserve">3. Qualitative Risk Analysis – Prioritizing risks for subsequent further analysis or action by assessing and combining their probability of occurrence and impact. </w:t>
      </w:r>
    </w:p>
    <w:p w:rsidR="00A97670" w:rsidRPr="00A97670" w:rsidRDefault="00A97670" w:rsidP="00A97670">
      <w:pPr>
        <w:numPr>
          <w:ilvl w:val="0"/>
          <w:numId w:val="2"/>
        </w:numPr>
        <w:spacing w:after="160" w:line="259" w:lineRule="auto"/>
        <w:contextualSpacing/>
        <w:jc w:val="both"/>
        <w:rPr>
          <w:rFonts w:ascii="Arial" w:eastAsia="Calibri" w:hAnsi="Arial" w:cs="Arial"/>
          <w:sz w:val="24"/>
          <w:szCs w:val="24"/>
          <w:lang w:val="en-US"/>
        </w:rPr>
      </w:pPr>
      <w:r w:rsidRPr="00A97670">
        <w:rPr>
          <w:rFonts w:ascii="Arial" w:eastAsia="Calibri" w:hAnsi="Arial" w:cs="Arial"/>
          <w:sz w:val="24"/>
          <w:szCs w:val="24"/>
          <w:lang w:val="en-US"/>
        </w:rPr>
        <w:t>4. Quantitative Risk Analysis – Analyzing probabilistically the effect of identified risks on overall project objectives.</w:t>
      </w:r>
    </w:p>
    <w:p w:rsidR="00A97670" w:rsidRPr="00A97670" w:rsidRDefault="00A97670" w:rsidP="00A97670">
      <w:pPr>
        <w:numPr>
          <w:ilvl w:val="0"/>
          <w:numId w:val="2"/>
        </w:numPr>
        <w:spacing w:after="160" w:line="259" w:lineRule="auto"/>
        <w:contextualSpacing/>
        <w:jc w:val="both"/>
        <w:rPr>
          <w:rFonts w:ascii="Arial" w:eastAsia="Calibri" w:hAnsi="Arial" w:cs="Arial"/>
          <w:sz w:val="24"/>
          <w:szCs w:val="24"/>
          <w:lang w:val="en-US"/>
        </w:rPr>
      </w:pPr>
      <w:r w:rsidRPr="00A97670">
        <w:rPr>
          <w:rFonts w:ascii="Arial" w:eastAsia="Calibri" w:hAnsi="Arial" w:cs="Arial"/>
          <w:sz w:val="24"/>
          <w:szCs w:val="24"/>
          <w:lang w:val="en-US"/>
        </w:rPr>
        <w:t xml:space="preserve"> 5. Risk Response – Developing options and actions to enhance opportunities and to reduce threats to project objectives.</w:t>
      </w:r>
    </w:p>
    <w:p w:rsidR="00A97670" w:rsidRPr="00A97670" w:rsidRDefault="00A97670" w:rsidP="00A97670">
      <w:pPr>
        <w:numPr>
          <w:ilvl w:val="0"/>
          <w:numId w:val="2"/>
        </w:numPr>
        <w:spacing w:after="160" w:line="259" w:lineRule="auto"/>
        <w:contextualSpacing/>
        <w:jc w:val="both"/>
        <w:rPr>
          <w:rFonts w:ascii="Arial" w:eastAsia="Calibri" w:hAnsi="Arial" w:cs="Arial"/>
          <w:sz w:val="24"/>
          <w:szCs w:val="24"/>
          <w:lang w:val="en-US"/>
        </w:rPr>
      </w:pPr>
      <w:r w:rsidRPr="00A97670">
        <w:rPr>
          <w:rFonts w:ascii="Arial" w:eastAsia="Calibri" w:hAnsi="Arial" w:cs="Arial"/>
          <w:sz w:val="24"/>
          <w:szCs w:val="24"/>
          <w:lang w:val="en-US"/>
        </w:rPr>
        <w:t xml:space="preserve"> 6. Risk Monitoring  and control – Tracking identified risks, monitoring residual risks, identifying new risks, executing risk response plans, and evaluating their effectiveness throughout the project life cycle.</w:t>
      </w:r>
    </w:p>
    <w:p w:rsidR="00A97670" w:rsidRPr="00A97670" w:rsidRDefault="00A97670" w:rsidP="00A97670">
      <w:pPr>
        <w:spacing w:after="160" w:line="259" w:lineRule="auto"/>
        <w:jc w:val="both"/>
        <w:rPr>
          <w:rFonts w:ascii="Arial" w:eastAsia="Calibri" w:hAnsi="Arial" w:cs="Arial"/>
          <w:b/>
          <w:sz w:val="24"/>
          <w:szCs w:val="24"/>
          <w:lang w:val="en-US"/>
        </w:rPr>
      </w:pPr>
      <w:r w:rsidRPr="00A97670">
        <w:rPr>
          <w:rFonts w:ascii="Arial" w:eastAsia="Calibri" w:hAnsi="Arial" w:cs="Arial"/>
          <w:b/>
          <w:sz w:val="24"/>
          <w:szCs w:val="24"/>
          <w:lang w:val="en-US"/>
        </w:rPr>
        <w:t>II. Define the term ‘risk holder’s tolerance’.</w:t>
      </w:r>
    </w:p>
    <w:p w:rsidR="00A97670" w:rsidRPr="00A97670" w:rsidRDefault="00A97670" w:rsidP="00A97670">
      <w:pPr>
        <w:spacing w:after="160" w:line="259" w:lineRule="auto"/>
        <w:jc w:val="both"/>
        <w:rPr>
          <w:rFonts w:ascii="Arial" w:eastAsia="Calibri" w:hAnsi="Arial" w:cs="Arial"/>
          <w:sz w:val="24"/>
          <w:szCs w:val="24"/>
          <w:lang w:val="en-US"/>
        </w:rPr>
      </w:pPr>
      <w:r w:rsidRPr="00A97670">
        <w:rPr>
          <w:rFonts w:ascii="Arial" w:eastAsia="Calibri" w:hAnsi="Arial" w:cs="Arial"/>
          <w:b/>
          <w:color w:val="000000"/>
          <w:sz w:val="24"/>
          <w:szCs w:val="24"/>
          <w:shd w:val="clear" w:color="auto" w:fill="FFFFFF"/>
          <w:lang w:val="en-US"/>
        </w:rPr>
        <w:t>Risk holder’s tolerance</w:t>
      </w:r>
      <w:r w:rsidRPr="00A97670">
        <w:rPr>
          <w:rFonts w:ascii="Arial" w:eastAsia="Calibri" w:hAnsi="Arial" w:cs="Arial"/>
          <w:color w:val="000000"/>
          <w:sz w:val="24"/>
          <w:szCs w:val="24"/>
          <w:shd w:val="clear" w:color="auto" w:fill="FFFFFF"/>
          <w:lang w:val="en-US"/>
        </w:rPr>
        <w:t xml:space="preserve"> is the degree of variability in investment returns that an individual is willing to withstand. Risk tolerance is an important component in investing. An individual should have a realistic understanding of his or her ability and willingness to stomach large swings in the value of his or her investments. Investors who take on too much risk may panic and sell at the wrong time.</w:t>
      </w:r>
      <w:r w:rsidRPr="00A97670">
        <w:rPr>
          <w:rFonts w:ascii="Arial" w:eastAsia="Calibri" w:hAnsi="Arial" w:cs="Arial"/>
          <w:color w:val="000000"/>
          <w:sz w:val="24"/>
          <w:szCs w:val="24"/>
          <w:lang w:val="en-US"/>
        </w:rPr>
        <w:br/>
      </w:r>
    </w:p>
    <w:p w:rsidR="00A97670" w:rsidRPr="00A97670" w:rsidRDefault="00A97670" w:rsidP="00A97670">
      <w:pPr>
        <w:spacing w:after="160" w:line="259" w:lineRule="auto"/>
        <w:jc w:val="both"/>
        <w:rPr>
          <w:rFonts w:ascii="Arial" w:eastAsia="Calibri" w:hAnsi="Arial" w:cs="Arial"/>
          <w:b/>
          <w:sz w:val="24"/>
          <w:szCs w:val="24"/>
          <w:lang w:val="en-US"/>
        </w:rPr>
      </w:pPr>
      <w:r w:rsidRPr="00A97670">
        <w:rPr>
          <w:rFonts w:ascii="Arial" w:eastAsia="Calibri" w:hAnsi="Arial" w:cs="Arial"/>
          <w:b/>
          <w:sz w:val="24"/>
          <w:szCs w:val="24"/>
          <w:lang w:val="en-US"/>
        </w:rPr>
        <w:t>III. What is risk identification?</w:t>
      </w:r>
    </w:p>
    <w:p w:rsidR="00A97670" w:rsidRPr="00A97670" w:rsidRDefault="00A97670" w:rsidP="00A97670">
      <w:pPr>
        <w:spacing w:after="160" w:line="259" w:lineRule="auto"/>
        <w:jc w:val="both"/>
        <w:rPr>
          <w:rFonts w:ascii="Arial" w:eastAsia="Calibri" w:hAnsi="Arial" w:cs="Arial"/>
          <w:sz w:val="24"/>
          <w:szCs w:val="24"/>
          <w:lang w:val="en-US"/>
        </w:rPr>
      </w:pPr>
      <w:r w:rsidRPr="00A97670">
        <w:rPr>
          <w:rFonts w:ascii="Arial" w:eastAsia="Calibri" w:hAnsi="Arial" w:cs="Arial"/>
          <w:b/>
          <w:sz w:val="24"/>
          <w:szCs w:val="24"/>
          <w:lang w:val="en-US"/>
        </w:rPr>
        <w:t>Risk identification</w:t>
      </w:r>
      <w:r w:rsidRPr="00A97670">
        <w:rPr>
          <w:rFonts w:ascii="Arial" w:eastAsia="Calibri" w:hAnsi="Arial" w:cs="Arial"/>
          <w:sz w:val="24"/>
          <w:szCs w:val="24"/>
          <w:lang w:val="en-US"/>
        </w:rPr>
        <w:t xml:space="preserve"> determines what might happen that could affect the objectives of the project and how those things might happen. It produces a deliverable — the project risk register – that documents the risks and their characteristics. The risk register is subsequently amended by the qualitative or quantitative risk analysis, risk response, and risk monitoring processes. Risk identification is an iterative process because new risks may become known as the project progresses through its life cycle, previously</w:t>
      </w:r>
      <w:r w:rsidRPr="00A97670">
        <w:rPr>
          <w:rFonts w:ascii="Cambria Math" w:eastAsia="Calibri" w:hAnsi="Cambria Math" w:cs="Cambria Math"/>
          <w:sz w:val="24"/>
          <w:szCs w:val="24"/>
          <w:lang w:val="en-US"/>
        </w:rPr>
        <w:t>‐</w:t>
      </w:r>
      <w:r w:rsidRPr="00A97670">
        <w:rPr>
          <w:rFonts w:ascii="Arial" w:eastAsia="Calibri" w:hAnsi="Arial" w:cs="Arial"/>
          <w:sz w:val="24"/>
          <w:szCs w:val="24"/>
          <w:lang w:val="en-US"/>
        </w:rPr>
        <w:t>identified risks may drop out, and other risks may be updated.</w:t>
      </w:r>
    </w:p>
    <w:p w:rsidR="00A97670" w:rsidRPr="00A97670" w:rsidRDefault="00A97670" w:rsidP="00A97670">
      <w:pPr>
        <w:spacing w:after="160" w:line="259" w:lineRule="auto"/>
        <w:jc w:val="both"/>
        <w:rPr>
          <w:rFonts w:ascii="Arial" w:eastAsia="Calibri" w:hAnsi="Arial" w:cs="Arial"/>
          <w:sz w:val="24"/>
          <w:szCs w:val="24"/>
          <w:lang w:val="en-US"/>
        </w:rPr>
      </w:pPr>
    </w:p>
    <w:p w:rsidR="00A97670" w:rsidRPr="00A97670" w:rsidRDefault="00A97670" w:rsidP="00A97670">
      <w:pPr>
        <w:spacing w:after="160" w:line="259" w:lineRule="auto"/>
        <w:jc w:val="both"/>
        <w:rPr>
          <w:rFonts w:ascii="Arial" w:eastAsia="Calibri" w:hAnsi="Arial" w:cs="Arial"/>
          <w:b/>
          <w:sz w:val="24"/>
          <w:szCs w:val="24"/>
          <w:lang w:val="en-US"/>
        </w:rPr>
      </w:pPr>
      <w:r w:rsidRPr="00A97670">
        <w:rPr>
          <w:rFonts w:ascii="Arial" w:eastAsia="Calibri" w:hAnsi="Arial" w:cs="Arial"/>
          <w:b/>
          <w:sz w:val="24"/>
          <w:szCs w:val="24"/>
          <w:lang w:val="en-US"/>
        </w:rPr>
        <w:t>IV. Define qualitative risk analysis.</w:t>
      </w:r>
    </w:p>
    <w:p w:rsidR="00A97670" w:rsidRPr="00A97670" w:rsidRDefault="00A97670" w:rsidP="00A97670">
      <w:pPr>
        <w:spacing w:after="160" w:line="259" w:lineRule="auto"/>
        <w:jc w:val="both"/>
        <w:rPr>
          <w:rFonts w:ascii="Arial" w:eastAsia="Calibri" w:hAnsi="Arial" w:cs="Arial"/>
          <w:sz w:val="24"/>
          <w:szCs w:val="24"/>
          <w:lang w:val="en-US"/>
        </w:rPr>
      </w:pPr>
      <w:r w:rsidRPr="00A97670">
        <w:rPr>
          <w:rFonts w:ascii="Arial" w:eastAsia="Calibri" w:hAnsi="Arial" w:cs="Arial"/>
          <w:b/>
          <w:sz w:val="24"/>
          <w:szCs w:val="24"/>
          <w:lang w:val="en-US"/>
        </w:rPr>
        <w:t>Qualitative risk analysis</w:t>
      </w:r>
      <w:r w:rsidRPr="00A97670">
        <w:rPr>
          <w:rFonts w:ascii="Arial" w:eastAsia="Calibri" w:hAnsi="Arial" w:cs="Arial"/>
          <w:sz w:val="24"/>
          <w:szCs w:val="24"/>
          <w:lang w:val="en-US"/>
        </w:rPr>
        <w:t xml:space="preserve"> includes methods for prioritizing the identified risks for further action, such as risk response. The technique is "qualitative" since it is a quick approximation and doesn't reflect the rigor of a detailed, numerical analysis. The </w:t>
      </w:r>
      <w:r w:rsidRPr="00A97670">
        <w:rPr>
          <w:rFonts w:ascii="Arial" w:eastAsia="Calibri" w:hAnsi="Arial" w:cs="Arial"/>
          <w:sz w:val="24"/>
          <w:szCs w:val="24"/>
          <w:lang w:val="en-US"/>
        </w:rPr>
        <w:lastRenderedPageBreak/>
        <w:t>PRMT can improve the project’s performance effectively by focusing on high</w:t>
      </w:r>
      <w:r w:rsidRPr="00A97670">
        <w:rPr>
          <w:rFonts w:ascii="Cambria Math" w:eastAsia="Calibri" w:hAnsi="Cambria Math" w:cs="Cambria Math"/>
          <w:sz w:val="24"/>
          <w:szCs w:val="24"/>
          <w:lang w:val="en-US"/>
        </w:rPr>
        <w:t>‐</w:t>
      </w:r>
      <w:r w:rsidRPr="00A97670">
        <w:rPr>
          <w:rFonts w:ascii="Arial" w:eastAsia="Calibri" w:hAnsi="Arial" w:cs="Arial"/>
          <w:sz w:val="24"/>
          <w:szCs w:val="24"/>
          <w:lang w:val="en-US"/>
        </w:rPr>
        <w:t>priority risks. Team members revisit qualitative risk analysis during the project’s lifecycle. When the team repeats qualitative analysis for individual risks, trends may emerge in the results. These trends can indicate the need for more or less risk management action on particular risks or even show whether a risk mitigation plan is working.</w:t>
      </w:r>
    </w:p>
    <w:p w:rsidR="00A97670" w:rsidRPr="00A97670" w:rsidRDefault="00A97670" w:rsidP="00A97670">
      <w:pPr>
        <w:spacing w:after="160" w:line="259" w:lineRule="auto"/>
        <w:jc w:val="both"/>
        <w:rPr>
          <w:rFonts w:ascii="Arial" w:eastAsia="Calibri" w:hAnsi="Arial" w:cs="Arial"/>
          <w:sz w:val="24"/>
          <w:szCs w:val="24"/>
          <w:lang w:val="en-US"/>
        </w:rPr>
      </w:pPr>
    </w:p>
    <w:p w:rsidR="00A97670" w:rsidRPr="00A97670" w:rsidRDefault="00A97670" w:rsidP="00A97670">
      <w:pPr>
        <w:spacing w:after="160" w:line="259" w:lineRule="auto"/>
        <w:jc w:val="both"/>
        <w:rPr>
          <w:rFonts w:ascii="Arial" w:eastAsia="Calibri" w:hAnsi="Arial" w:cs="Arial"/>
          <w:b/>
          <w:sz w:val="24"/>
          <w:szCs w:val="24"/>
          <w:lang w:val="en-US"/>
        </w:rPr>
      </w:pPr>
      <w:r w:rsidRPr="00A97670">
        <w:rPr>
          <w:rFonts w:ascii="Arial" w:eastAsia="Calibri" w:hAnsi="Arial" w:cs="Arial"/>
          <w:b/>
          <w:sz w:val="24"/>
          <w:szCs w:val="24"/>
          <w:lang w:val="en-US"/>
        </w:rPr>
        <w:t>V. What is a decision tree method? How it is used for examining risks?</w:t>
      </w:r>
    </w:p>
    <w:p w:rsidR="00A97670" w:rsidRPr="00A97670" w:rsidRDefault="00A97670" w:rsidP="00A97670">
      <w:pPr>
        <w:spacing w:after="160" w:line="259" w:lineRule="auto"/>
        <w:jc w:val="both"/>
        <w:rPr>
          <w:rFonts w:ascii="Arial" w:eastAsia="Calibri" w:hAnsi="Arial" w:cs="Arial"/>
          <w:sz w:val="24"/>
          <w:szCs w:val="24"/>
          <w:lang w:val="en-US"/>
        </w:rPr>
      </w:pPr>
      <w:r w:rsidRPr="00A97670">
        <w:rPr>
          <w:rFonts w:ascii="Arial" w:eastAsia="Calibri" w:hAnsi="Arial" w:cs="Arial"/>
          <w:b/>
          <w:sz w:val="24"/>
          <w:szCs w:val="24"/>
          <w:lang w:val="en-US"/>
        </w:rPr>
        <w:t>A decision tree</w:t>
      </w:r>
      <w:r w:rsidRPr="00A97670">
        <w:rPr>
          <w:rFonts w:ascii="Arial" w:eastAsia="Calibri" w:hAnsi="Arial" w:cs="Arial"/>
          <w:sz w:val="24"/>
          <w:szCs w:val="24"/>
          <w:lang w:val="en-US"/>
        </w:rPr>
        <w:t xml:space="preserve"> is a method you can use to help make good choices, especially decisions that involve high costs and risks. Decision trees use a graphic approach to compare competing alternatives and assign values to those alternatives by combining uncertainties, costs, and payoffs into specific numerical values. If you are a project manager, business analyst, or a project decision-maker, this primer is for you. If you are interested in cognitive science, artificial intelligence, data mining, medical diagnosis, formal problem solving, or game theory, this primer provides an introduction to basic concepts of decision tree analysis.</w:t>
      </w:r>
    </w:p>
    <w:p w:rsidR="00A97670" w:rsidRPr="00A97670" w:rsidRDefault="00A97670" w:rsidP="00A97670">
      <w:pPr>
        <w:spacing w:after="160" w:line="259" w:lineRule="auto"/>
        <w:jc w:val="both"/>
        <w:rPr>
          <w:rFonts w:ascii="Arial" w:eastAsia="Calibri" w:hAnsi="Arial" w:cs="Arial"/>
          <w:sz w:val="24"/>
          <w:szCs w:val="24"/>
          <w:lang w:val="en-US"/>
        </w:rPr>
      </w:pPr>
      <w:r w:rsidRPr="00A97670">
        <w:rPr>
          <w:rFonts w:ascii="Arial" w:eastAsia="Calibri" w:hAnsi="Arial" w:cs="Arial"/>
          <w:sz w:val="24"/>
          <w:szCs w:val="24"/>
          <w:lang w:val="en-US"/>
        </w:rPr>
        <w:t xml:space="preserve"> </w:t>
      </w:r>
      <w:r w:rsidRPr="00A97670">
        <w:rPr>
          <w:rFonts w:ascii="Arial" w:eastAsia="Calibri" w:hAnsi="Arial" w:cs="Arial"/>
          <w:b/>
          <w:sz w:val="24"/>
          <w:szCs w:val="24"/>
          <w:lang w:val="en-US"/>
        </w:rPr>
        <w:t>How it is used for examining risks?</w:t>
      </w:r>
      <w:r w:rsidRPr="00A97670">
        <w:rPr>
          <w:rFonts w:ascii="Arial" w:eastAsia="Calibri" w:hAnsi="Arial" w:cs="Arial"/>
          <w:sz w:val="24"/>
          <w:szCs w:val="24"/>
          <w:lang w:val="en-US"/>
        </w:rPr>
        <w:t xml:space="preserve"> A decision tree is a diagram of nodes and connecting branches. Nodes indicate decision points, chance events, or branch terminals. Branches correspond to each decision alternative or event outcome emerging from a node.</w:t>
      </w:r>
    </w:p>
    <w:p w:rsidR="00A97670" w:rsidRPr="00A97670" w:rsidRDefault="00A97670" w:rsidP="00A97670">
      <w:pPr>
        <w:spacing w:after="160" w:line="259" w:lineRule="auto"/>
        <w:jc w:val="both"/>
        <w:rPr>
          <w:rFonts w:ascii="Arial" w:eastAsia="Calibri" w:hAnsi="Arial" w:cs="Arial"/>
          <w:sz w:val="24"/>
          <w:szCs w:val="24"/>
          <w:lang w:val="en-US"/>
        </w:rPr>
      </w:pPr>
    </w:p>
    <w:p w:rsidR="00A97670" w:rsidRPr="00A97670" w:rsidRDefault="00A97670" w:rsidP="00A97670">
      <w:pPr>
        <w:spacing w:after="160" w:line="259" w:lineRule="auto"/>
        <w:jc w:val="both"/>
        <w:rPr>
          <w:rFonts w:ascii="Arial" w:eastAsia="Calibri" w:hAnsi="Arial" w:cs="Arial"/>
          <w:b/>
          <w:sz w:val="24"/>
          <w:szCs w:val="24"/>
          <w:lang w:val="en-US"/>
        </w:rPr>
      </w:pPr>
      <w:r w:rsidRPr="00A97670">
        <w:rPr>
          <w:rFonts w:ascii="Arial" w:eastAsia="Calibri" w:hAnsi="Arial" w:cs="Arial"/>
          <w:b/>
          <w:sz w:val="24"/>
          <w:szCs w:val="24"/>
          <w:lang w:val="en-US"/>
        </w:rPr>
        <w:t>VI. Explain the term ‘risk response’.</w:t>
      </w:r>
    </w:p>
    <w:p w:rsidR="00A97670" w:rsidRPr="00A97670" w:rsidRDefault="00A97670" w:rsidP="00A97670">
      <w:pPr>
        <w:spacing w:after="160" w:line="259" w:lineRule="auto"/>
        <w:jc w:val="both"/>
        <w:rPr>
          <w:rFonts w:ascii="Arial" w:eastAsia="Calibri" w:hAnsi="Arial" w:cs="Arial"/>
          <w:sz w:val="24"/>
          <w:szCs w:val="24"/>
          <w:lang w:val="en-US"/>
        </w:rPr>
      </w:pPr>
      <w:r w:rsidRPr="00A97670">
        <w:rPr>
          <w:rFonts w:ascii="Arial" w:eastAsia="Calibri" w:hAnsi="Arial" w:cs="Arial"/>
          <w:sz w:val="24"/>
          <w:szCs w:val="24"/>
          <w:lang w:val="en-US"/>
        </w:rPr>
        <w:t xml:space="preserve">  </w:t>
      </w:r>
      <w:r w:rsidRPr="00A97670">
        <w:rPr>
          <w:rFonts w:ascii="Arial" w:eastAsia="Calibri" w:hAnsi="Arial" w:cs="Arial"/>
          <w:b/>
          <w:sz w:val="24"/>
          <w:szCs w:val="24"/>
          <w:lang w:val="en-US"/>
        </w:rPr>
        <w:t>Risk response</w:t>
      </w:r>
      <w:r w:rsidRPr="00A97670">
        <w:rPr>
          <w:rFonts w:ascii="Arial" w:eastAsia="Calibri" w:hAnsi="Arial" w:cs="Arial"/>
          <w:sz w:val="24"/>
          <w:szCs w:val="24"/>
          <w:lang w:val="en-US"/>
        </w:rPr>
        <w:t xml:space="preserve"> is the process of developing strategic options, and determining actions, to enhance opportunities and reduce threats to the project’s objectives. A project team member is assigned to take responsibility for each risk response. This process ensures that each risk requiring a response has an owner monitoring the responses, although the owner may delegate implementation of a response to someone else.</w:t>
      </w:r>
    </w:p>
    <w:p w:rsidR="00A97670" w:rsidRPr="00A97670" w:rsidRDefault="00A97670" w:rsidP="00A97670">
      <w:pPr>
        <w:spacing w:after="160" w:line="259" w:lineRule="auto"/>
        <w:jc w:val="both"/>
        <w:rPr>
          <w:rFonts w:ascii="Arial" w:eastAsia="Calibri" w:hAnsi="Arial" w:cs="Arial"/>
          <w:b/>
          <w:sz w:val="24"/>
          <w:szCs w:val="24"/>
          <w:lang w:val="en-US"/>
        </w:rPr>
      </w:pPr>
      <w:r w:rsidRPr="00A97670">
        <w:rPr>
          <w:rFonts w:ascii="Arial" w:eastAsia="Calibri" w:hAnsi="Arial" w:cs="Arial"/>
          <w:b/>
          <w:sz w:val="24"/>
          <w:szCs w:val="24"/>
          <w:lang w:val="en-US"/>
        </w:rPr>
        <w:t>VII. What is ‘risk acceptance’?</w:t>
      </w:r>
    </w:p>
    <w:p w:rsidR="00A97670" w:rsidRPr="00A97670" w:rsidRDefault="00A97670" w:rsidP="00A97670">
      <w:pPr>
        <w:spacing w:after="160" w:line="259" w:lineRule="auto"/>
        <w:jc w:val="both"/>
        <w:rPr>
          <w:rFonts w:ascii="Arial" w:eastAsia="Calibri" w:hAnsi="Arial" w:cs="Arial"/>
          <w:sz w:val="24"/>
          <w:szCs w:val="24"/>
          <w:lang w:val="en-US"/>
        </w:rPr>
      </w:pPr>
      <w:r w:rsidRPr="00A97670">
        <w:rPr>
          <w:rFonts w:ascii="Arial" w:eastAsia="Calibri" w:hAnsi="Arial" w:cs="Arial"/>
          <w:b/>
          <w:sz w:val="24"/>
          <w:szCs w:val="24"/>
          <w:lang w:val="en-US"/>
        </w:rPr>
        <w:t>Accepting Risk</w:t>
      </w:r>
      <w:r w:rsidRPr="00A97670">
        <w:rPr>
          <w:rFonts w:ascii="Arial" w:eastAsia="Calibri" w:hAnsi="Arial" w:cs="Arial"/>
          <w:sz w:val="24"/>
          <w:szCs w:val="24"/>
          <w:lang w:val="en-US"/>
        </w:rPr>
        <w:t xml:space="preserve"> is a risk management method used in the business or investment field. Accepting risk occurs when the cost of managing a certain type of risk is accepted, because the risk involved is not adequate enough to warrant the added cost it will take to avoid that risk.</w:t>
      </w:r>
    </w:p>
    <w:p w:rsidR="00A97670" w:rsidRPr="00A97670" w:rsidRDefault="00A97670" w:rsidP="00A97670">
      <w:pPr>
        <w:spacing w:after="160" w:line="259" w:lineRule="auto"/>
        <w:jc w:val="both"/>
        <w:rPr>
          <w:rFonts w:ascii="Arial" w:eastAsia="Calibri" w:hAnsi="Arial" w:cs="Arial"/>
          <w:sz w:val="24"/>
          <w:szCs w:val="24"/>
          <w:lang w:val="en-US"/>
        </w:rPr>
      </w:pPr>
      <w:r w:rsidRPr="00A97670">
        <w:rPr>
          <w:rFonts w:ascii="Arial" w:eastAsia="Calibri" w:hAnsi="Arial" w:cs="Arial"/>
          <w:sz w:val="24"/>
          <w:szCs w:val="24"/>
          <w:lang w:val="en-US"/>
        </w:rPr>
        <w:t>Acceptance is active when a risk is identified as being acceptable but we decide to make a plan for what to do when and if the risk occurs. It is much more effective to have a plan in place when these types of risk occur rather than trying to deal with the risk when there is little time and lots of hysterics. There is also another risk involved: the wrong thing can be done to solve the problem because its solution was not clearly thought out under pressure in the heat of the moment.</w:t>
      </w:r>
    </w:p>
    <w:p w:rsidR="00A97670" w:rsidRPr="00A97670" w:rsidRDefault="00A97670" w:rsidP="00A97670">
      <w:pPr>
        <w:spacing w:after="160" w:line="259" w:lineRule="auto"/>
        <w:jc w:val="both"/>
        <w:rPr>
          <w:rFonts w:ascii="Arial" w:eastAsia="Calibri" w:hAnsi="Arial" w:cs="Arial"/>
          <w:sz w:val="24"/>
          <w:szCs w:val="24"/>
          <w:lang w:val="en-US"/>
        </w:rPr>
      </w:pPr>
      <w:r w:rsidRPr="00A97670">
        <w:rPr>
          <w:rFonts w:ascii="Arial" w:eastAsia="Calibri" w:hAnsi="Arial" w:cs="Arial"/>
          <w:sz w:val="24"/>
          <w:szCs w:val="24"/>
          <w:lang w:val="en-US"/>
        </w:rPr>
        <w:t xml:space="preserve">Acceptance is passive when nothing at all is done to plan for the risk occurrence. Many of the identified risks in the project will be passively accepted. These risks are </w:t>
      </w:r>
      <w:r w:rsidRPr="00A97670">
        <w:rPr>
          <w:rFonts w:ascii="Arial" w:eastAsia="Calibri" w:hAnsi="Arial" w:cs="Arial"/>
          <w:sz w:val="24"/>
          <w:szCs w:val="24"/>
          <w:lang w:val="en-US"/>
        </w:rPr>
        <w:lastRenderedPageBreak/>
        <w:t>simply too small to be of concern. The cost of developing a plan and documenting it can be higher than the cost of dealing with the risk without preparation.</w:t>
      </w:r>
    </w:p>
    <w:p w:rsidR="00A97670" w:rsidRPr="00A97670" w:rsidRDefault="00A97670" w:rsidP="00A97670">
      <w:pPr>
        <w:spacing w:after="160" w:line="259" w:lineRule="auto"/>
        <w:jc w:val="both"/>
        <w:rPr>
          <w:rFonts w:ascii="Arial" w:eastAsia="Calibri" w:hAnsi="Arial" w:cs="Arial"/>
          <w:b/>
          <w:sz w:val="24"/>
          <w:szCs w:val="24"/>
          <w:lang w:val="en-US"/>
        </w:rPr>
      </w:pPr>
      <w:r w:rsidRPr="00A97670">
        <w:rPr>
          <w:rFonts w:ascii="Arial" w:eastAsia="Calibri" w:hAnsi="Arial" w:cs="Arial"/>
          <w:b/>
          <w:sz w:val="24"/>
          <w:szCs w:val="24"/>
          <w:lang w:val="en-US"/>
        </w:rPr>
        <w:t>VIII. Give some examples of risk transfer.</w:t>
      </w:r>
    </w:p>
    <w:p w:rsidR="00A97670" w:rsidRPr="00A97670" w:rsidRDefault="00A97670" w:rsidP="00A97670">
      <w:pPr>
        <w:spacing w:after="160" w:line="259" w:lineRule="auto"/>
        <w:jc w:val="both"/>
        <w:rPr>
          <w:rFonts w:ascii="Arial" w:eastAsia="Calibri" w:hAnsi="Arial" w:cs="Arial"/>
          <w:sz w:val="24"/>
          <w:szCs w:val="24"/>
          <w:lang w:val="en-US"/>
        </w:rPr>
      </w:pPr>
      <w:r w:rsidRPr="00A97670">
        <w:rPr>
          <w:rFonts w:ascii="Arial" w:eastAsia="Calibri" w:hAnsi="Arial" w:cs="Arial"/>
          <w:sz w:val="24"/>
          <w:szCs w:val="24"/>
          <w:lang w:val="en-US"/>
        </w:rPr>
        <w:t>Risk transfer is a risk reduction method that shifts the risk from the project to another party. The purchase of insurance on certain items is a risk transfer method. The risk is transferred from the project to the insurance company. Other example are as follows:</w:t>
      </w:r>
    </w:p>
    <w:p w:rsidR="00A97670" w:rsidRPr="00A97670" w:rsidRDefault="00A97670" w:rsidP="00A97670">
      <w:pPr>
        <w:numPr>
          <w:ilvl w:val="0"/>
          <w:numId w:val="4"/>
        </w:numPr>
        <w:spacing w:after="160" w:line="259" w:lineRule="auto"/>
        <w:contextualSpacing/>
        <w:jc w:val="both"/>
        <w:rPr>
          <w:rFonts w:ascii="Arial" w:eastAsia="Calibri" w:hAnsi="Arial" w:cs="Arial"/>
          <w:sz w:val="24"/>
          <w:szCs w:val="24"/>
          <w:lang w:val="en-US"/>
        </w:rPr>
      </w:pPr>
      <w:r w:rsidRPr="00A97670">
        <w:rPr>
          <w:rFonts w:ascii="Arial" w:eastAsia="Calibri" w:hAnsi="Arial" w:cs="Arial"/>
          <w:sz w:val="24"/>
          <w:szCs w:val="24"/>
          <w:lang w:val="en-US"/>
        </w:rPr>
        <w:t>Fixed-priced contracts</w:t>
      </w:r>
    </w:p>
    <w:p w:rsidR="00A97670" w:rsidRPr="00A97670" w:rsidRDefault="00A97670" w:rsidP="00A97670">
      <w:pPr>
        <w:numPr>
          <w:ilvl w:val="0"/>
          <w:numId w:val="4"/>
        </w:numPr>
        <w:spacing w:after="160" w:line="259" w:lineRule="auto"/>
        <w:contextualSpacing/>
        <w:jc w:val="both"/>
        <w:rPr>
          <w:rFonts w:ascii="Arial" w:eastAsia="Calibri" w:hAnsi="Arial" w:cs="Arial"/>
          <w:sz w:val="24"/>
          <w:szCs w:val="24"/>
          <w:lang w:val="en-US"/>
        </w:rPr>
      </w:pPr>
      <w:r w:rsidRPr="00A97670">
        <w:rPr>
          <w:rFonts w:ascii="Arial" w:eastAsia="Calibri" w:hAnsi="Arial" w:cs="Arial"/>
          <w:sz w:val="24"/>
          <w:szCs w:val="24"/>
          <w:lang w:val="en-US"/>
        </w:rPr>
        <w:t>Warrantees</w:t>
      </w:r>
    </w:p>
    <w:p w:rsidR="00A97670" w:rsidRPr="00A97670" w:rsidRDefault="00A97670" w:rsidP="00A97670">
      <w:pPr>
        <w:numPr>
          <w:ilvl w:val="0"/>
          <w:numId w:val="4"/>
        </w:numPr>
        <w:spacing w:after="160" w:line="259" w:lineRule="auto"/>
        <w:contextualSpacing/>
        <w:jc w:val="both"/>
        <w:rPr>
          <w:rFonts w:ascii="Arial" w:eastAsia="Calibri" w:hAnsi="Arial" w:cs="Arial"/>
          <w:sz w:val="24"/>
          <w:szCs w:val="24"/>
          <w:lang w:val="en-US"/>
        </w:rPr>
      </w:pPr>
      <w:r w:rsidRPr="00A97670">
        <w:rPr>
          <w:rFonts w:ascii="Arial" w:eastAsia="Calibri" w:hAnsi="Arial" w:cs="Arial"/>
          <w:sz w:val="24"/>
          <w:szCs w:val="24"/>
          <w:lang w:val="en-US"/>
        </w:rPr>
        <w:t>Guarantees</w:t>
      </w:r>
    </w:p>
    <w:p w:rsidR="00A97670" w:rsidRPr="00A97670" w:rsidRDefault="00A97670" w:rsidP="00A97670">
      <w:pPr>
        <w:numPr>
          <w:ilvl w:val="0"/>
          <w:numId w:val="4"/>
        </w:numPr>
        <w:spacing w:after="160" w:line="259" w:lineRule="auto"/>
        <w:contextualSpacing/>
        <w:jc w:val="both"/>
        <w:rPr>
          <w:rFonts w:ascii="Arial" w:eastAsia="Calibri" w:hAnsi="Arial" w:cs="Arial"/>
          <w:sz w:val="24"/>
          <w:szCs w:val="24"/>
          <w:lang w:val="en-US"/>
        </w:rPr>
      </w:pPr>
      <w:r w:rsidRPr="00A97670">
        <w:rPr>
          <w:rFonts w:ascii="Arial" w:eastAsia="Calibri" w:hAnsi="Arial" w:cs="Arial"/>
          <w:sz w:val="24"/>
          <w:szCs w:val="24"/>
          <w:lang w:val="en-US"/>
        </w:rPr>
        <w:t xml:space="preserve">Performance bonds </w:t>
      </w:r>
    </w:p>
    <w:p w:rsidR="00A97670" w:rsidRPr="00A97670" w:rsidRDefault="00A97670" w:rsidP="00A97670">
      <w:pPr>
        <w:spacing w:after="160" w:line="259" w:lineRule="auto"/>
        <w:jc w:val="both"/>
        <w:rPr>
          <w:rFonts w:ascii="Arial" w:eastAsia="Calibri" w:hAnsi="Arial" w:cs="Arial"/>
          <w:sz w:val="24"/>
          <w:szCs w:val="24"/>
          <w:lang w:val="en-US"/>
        </w:rPr>
      </w:pPr>
      <w:r w:rsidRPr="00A97670">
        <w:rPr>
          <w:rFonts w:ascii="Arial" w:eastAsia="Calibri" w:hAnsi="Arial" w:cs="Arial"/>
          <w:sz w:val="24"/>
          <w:szCs w:val="24"/>
          <w:lang w:val="en-US"/>
        </w:rPr>
        <w:t xml:space="preserve">2. How can the effects of risk be mitigated? Give some examples. (4) </w:t>
      </w:r>
    </w:p>
    <w:p w:rsidR="00A97670" w:rsidRPr="00A97670" w:rsidRDefault="00A97670" w:rsidP="00A97670">
      <w:pPr>
        <w:spacing w:after="160" w:line="259" w:lineRule="auto"/>
        <w:jc w:val="both"/>
        <w:rPr>
          <w:rFonts w:ascii="Arial" w:eastAsia="Calibri" w:hAnsi="Arial" w:cs="Arial"/>
          <w:sz w:val="24"/>
          <w:szCs w:val="24"/>
          <w:lang w:val="en-US"/>
        </w:rPr>
      </w:pPr>
      <w:r w:rsidRPr="00A97670">
        <w:rPr>
          <w:rFonts w:ascii="Arial" w:eastAsia="Calibri" w:hAnsi="Arial" w:cs="Arial"/>
          <w:sz w:val="24"/>
          <w:szCs w:val="24"/>
          <w:lang w:val="en-US"/>
        </w:rPr>
        <w:t xml:space="preserve"> Risk mitigation reduces the probability and/or impact of an adverse risk event to an acceptable threshold. Taking early action to reduce the probability and/or impact of a risk is often more effective than trying to repair the damage after the risk has occurred. Risk mitigation may require resources or time and thus presents a tradeoff between doing nothing versus the cost of mitigating the risk.</w:t>
      </w:r>
    </w:p>
    <w:p w:rsidR="00A97670" w:rsidRPr="00A97670" w:rsidRDefault="00A97670" w:rsidP="00A97670">
      <w:pPr>
        <w:spacing w:after="160" w:line="259" w:lineRule="auto"/>
        <w:jc w:val="both"/>
        <w:rPr>
          <w:rFonts w:ascii="Arial" w:eastAsia="Calibri" w:hAnsi="Arial" w:cs="Arial"/>
          <w:sz w:val="24"/>
          <w:szCs w:val="24"/>
          <w:lang w:val="en-US"/>
        </w:rPr>
      </w:pPr>
      <w:r w:rsidRPr="00A97670">
        <w:rPr>
          <w:rFonts w:ascii="Arial" w:eastAsia="Calibri" w:hAnsi="Arial" w:cs="Arial"/>
          <w:sz w:val="24"/>
          <w:szCs w:val="24"/>
          <w:lang w:val="en-US"/>
        </w:rPr>
        <w:t xml:space="preserve"> The effects of risk can be mitigated with</w:t>
      </w:r>
    </w:p>
    <w:p w:rsidR="00A97670" w:rsidRPr="00A97670" w:rsidRDefault="00A97670" w:rsidP="00A97670">
      <w:pPr>
        <w:numPr>
          <w:ilvl w:val="0"/>
          <w:numId w:val="5"/>
        </w:numPr>
        <w:spacing w:after="160" w:line="259" w:lineRule="auto"/>
        <w:contextualSpacing/>
        <w:jc w:val="both"/>
        <w:rPr>
          <w:rFonts w:ascii="Arial" w:eastAsia="Calibri" w:hAnsi="Arial" w:cs="Arial"/>
          <w:sz w:val="24"/>
          <w:szCs w:val="24"/>
          <w:lang w:val="en-US"/>
        </w:rPr>
      </w:pPr>
      <w:r w:rsidRPr="00A97670">
        <w:rPr>
          <w:rFonts w:ascii="Arial" w:eastAsia="Calibri" w:hAnsi="Arial" w:cs="Arial"/>
          <w:sz w:val="24"/>
          <w:szCs w:val="24"/>
          <w:lang w:val="en-US"/>
        </w:rPr>
        <w:t xml:space="preserve">Risk Acceptance </w:t>
      </w:r>
    </w:p>
    <w:p w:rsidR="00A97670" w:rsidRPr="00A97670" w:rsidRDefault="00A97670" w:rsidP="00A97670">
      <w:pPr>
        <w:numPr>
          <w:ilvl w:val="0"/>
          <w:numId w:val="5"/>
        </w:numPr>
        <w:spacing w:after="160" w:line="259" w:lineRule="auto"/>
        <w:contextualSpacing/>
        <w:jc w:val="both"/>
        <w:rPr>
          <w:rFonts w:ascii="Arial" w:eastAsia="Calibri" w:hAnsi="Arial" w:cs="Arial"/>
          <w:sz w:val="24"/>
          <w:szCs w:val="24"/>
          <w:lang w:val="en-US"/>
        </w:rPr>
      </w:pPr>
      <w:r w:rsidRPr="00A97670">
        <w:rPr>
          <w:rFonts w:ascii="Arial" w:eastAsia="Calibri" w:hAnsi="Arial" w:cs="Arial"/>
          <w:sz w:val="24"/>
          <w:szCs w:val="24"/>
          <w:lang w:val="en-US"/>
        </w:rPr>
        <w:t>Risk Avoidance</w:t>
      </w:r>
    </w:p>
    <w:p w:rsidR="00A97670" w:rsidRPr="00A97670" w:rsidRDefault="00A97670" w:rsidP="00A97670">
      <w:pPr>
        <w:numPr>
          <w:ilvl w:val="0"/>
          <w:numId w:val="5"/>
        </w:numPr>
        <w:spacing w:after="160" w:line="259" w:lineRule="auto"/>
        <w:contextualSpacing/>
        <w:jc w:val="both"/>
        <w:rPr>
          <w:rFonts w:ascii="Arial" w:eastAsia="Calibri" w:hAnsi="Arial" w:cs="Arial"/>
          <w:sz w:val="24"/>
          <w:szCs w:val="24"/>
          <w:lang w:val="en-US"/>
        </w:rPr>
      </w:pPr>
      <w:r w:rsidRPr="00A97670">
        <w:rPr>
          <w:rFonts w:ascii="Arial" w:eastAsia="Calibri" w:hAnsi="Arial" w:cs="Arial"/>
          <w:sz w:val="24"/>
          <w:szCs w:val="24"/>
          <w:lang w:val="en-US"/>
        </w:rPr>
        <w:t xml:space="preserve">Risk Limitation </w:t>
      </w:r>
    </w:p>
    <w:p w:rsidR="00A97670" w:rsidRPr="00A97670" w:rsidRDefault="00A97670" w:rsidP="00A97670">
      <w:pPr>
        <w:numPr>
          <w:ilvl w:val="0"/>
          <w:numId w:val="5"/>
        </w:numPr>
        <w:spacing w:after="160" w:line="259" w:lineRule="auto"/>
        <w:contextualSpacing/>
        <w:jc w:val="both"/>
        <w:rPr>
          <w:rFonts w:ascii="Arial" w:eastAsia="Calibri" w:hAnsi="Arial" w:cs="Arial"/>
          <w:sz w:val="24"/>
          <w:szCs w:val="24"/>
          <w:lang w:val="en-US"/>
        </w:rPr>
      </w:pPr>
      <w:r w:rsidRPr="00A97670">
        <w:rPr>
          <w:rFonts w:ascii="Arial" w:eastAsia="Calibri" w:hAnsi="Arial" w:cs="Arial"/>
          <w:sz w:val="24"/>
          <w:szCs w:val="24"/>
          <w:lang w:val="en-US"/>
        </w:rPr>
        <w:t>Risk Transference</w:t>
      </w:r>
    </w:p>
    <w:p w:rsidR="00A97670" w:rsidRPr="00A97670" w:rsidRDefault="00A97670" w:rsidP="00A97670">
      <w:pPr>
        <w:spacing w:after="160" w:line="259" w:lineRule="auto"/>
        <w:jc w:val="both"/>
        <w:rPr>
          <w:rFonts w:ascii="Arial" w:eastAsia="Calibri" w:hAnsi="Arial" w:cs="Arial"/>
          <w:sz w:val="24"/>
          <w:szCs w:val="24"/>
          <w:lang w:val="en-US"/>
        </w:rPr>
      </w:pPr>
    </w:p>
    <w:p w:rsidR="00A97670" w:rsidRPr="00A97670" w:rsidRDefault="00A97670" w:rsidP="00A97670">
      <w:pPr>
        <w:spacing w:after="160" w:line="259" w:lineRule="auto"/>
        <w:jc w:val="both"/>
        <w:rPr>
          <w:rFonts w:ascii="Arial" w:eastAsia="Calibri" w:hAnsi="Arial" w:cs="Arial"/>
          <w:b/>
          <w:sz w:val="24"/>
          <w:szCs w:val="24"/>
          <w:lang w:val="en-US"/>
        </w:rPr>
      </w:pPr>
      <w:r w:rsidRPr="00A97670">
        <w:rPr>
          <w:rFonts w:ascii="Arial" w:eastAsia="Calibri" w:hAnsi="Arial" w:cs="Arial"/>
          <w:b/>
          <w:sz w:val="24"/>
          <w:szCs w:val="24"/>
          <w:lang w:val="en-US"/>
        </w:rPr>
        <w:t>3. Discuss in details the process of identifying project risk. (10)</w:t>
      </w:r>
    </w:p>
    <w:p w:rsidR="00A97670" w:rsidRPr="00A97670" w:rsidRDefault="00A97670" w:rsidP="00A97670">
      <w:pPr>
        <w:spacing w:after="160" w:line="259" w:lineRule="auto"/>
        <w:jc w:val="both"/>
        <w:rPr>
          <w:rFonts w:ascii="Arial" w:eastAsia="Calibri" w:hAnsi="Arial" w:cs="Arial"/>
          <w:b/>
          <w:bCs/>
          <w:sz w:val="24"/>
          <w:szCs w:val="24"/>
          <w:lang w:val="en-US"/>
        </w:rPr>
      </w:pPr>
      <w:r w:rsidRPr="00A97670">
        <w:rPr>
          <w:rFonts w:ascii="Arial" w:eastAsia="Calibri" w:hAnsi="Arial" w:cs="Arial"/>
          <w:b/>
          <w:bCs/>
          <w:sz w:val="24"/>
          <w:szCs w:val="24"/>
          <w:lang w:val="en-US"/>
        </w:rPr>
        <w:t>RISK IDENTIFICATION</w:t>
      </w:r>
    </w:p>
    <w:p w:rsidR="00A97670" w:rsidRPr="00A97670" w:rsidRDefault="00A97670" w:rsidP="00A97670">
      <w:pPr>
        <w:spacing w:after="160" w:line="259" w:lineRule="auto"/>
        <w:jc w:val="both"/>
        <w:rPr>
          <w:rFonts w:ascii="Arial" w:eastAsia="Calibri" w:hAnsi="Arial" w:cs="Arial"/>
          <w:b/>
          <w:bCs/>
          <w:sz w:val="24"/>
          <w:szCs w:val="24"/>
          <w:lang w:val="en-US"/>
        </w:rPr>
      </w:pPr>
      <w:r w:rsidRPr="00A97670">
        <w:rPr>
          <w:rFonts w:ascii="Arial" w:eastAsia="Calibri" w:hAnsi="Arial" w:cs="Arial"/>
          <w:b/>
          <w:bCs/>
          <w:sz w:val="24"/>
          <w:szCs w:val="24"/>
          <w:lang w:val="en-US"/>
        </w:rPr>
        <w:t>Risk Identification – Determining which risks might affect the project and documenting their characteristics.</w:t>
      </w:r>
    </w:p>
    <w:p w:rsidR="00A97670" w:rsidRPr="00A97670" w:rsidRDefault="00A97670" w:rsidP="00A97670">
      <w:pPr>
        <w:spacing w:after="160" w:line="259" w:lineRule="auto"/>
        <w:jc w:val="both"/>
        <w:rPr>
          <w:rFonts w:ascii="Arial" w:eastAsia="Calibri" w:hAnsi="Arial" w:cs="Arial"/>
          <w:sz w:val="24"/>
          <w:szCs w:val="24"/>
          <w:lang w:val="en-US"/>
        </w:rPr>
      </w:pPr>
      <w:r w:rsidRPr="00A97670">
        <w:rPr>
          <w:rFonts w:ascii="Arial" w:eastAsia="Calibri" w:hAnsi="Arial" w:cs="Arial"/>
          <w:sz w:val="24"/>
          <w:szCs w:val="24"/>
          <w:lang w:val="en-US"/>
        </w:rPr>
        <w:t>A more disciplined process involves using checklists of potential risks and evaluating the likelihood that those events might happen on the project. Some companies and industries develop risk checklists based on experience from past projects. These checklists can be helpful to the project manager and project team in identifying both specific risks on the checklist and expanding the thinking of the team. The past experience of the project team, project experience within the company, and experts in the industry can be valuable resources for identifying potential risk on a project.</w:t>
      </w:r>
    </w:p>
    <w:p w:rsidR="00A97670" w:rsidRPr="00A97670" w:rsidRDefault="00A97670" w:rsidP="00A97670">
      <w:pPr>
        <w:spacing w:after="160" w:line="259" w:lineRule="auto"/>
        <w:jc w:val="both"/>
        <w:rPr>
          <w:rFonts w:ascii="Arial" w:eastAsia="Calibri" w:hAnsi="Arial" w:cs="Arial"/>
          <w:sz w:val="24"/>
          <w:szCs w:val="24"/>
          <w:lang w:val="en-US"/>
        </w:rPr>
      </w:pPr>
      <w:r w:rsidRPr="00A97670">
        <w:rPr>
          <w:rFonts w:ascii="Arial" w:eastAsia="Calibri" w:hAnsi="Arial" w:cs="Arial"/>
          <w:sz w:val="24"/>
          <w:szCs w:val="24"/>
          <w:lang w:val="en-US"/>
        </w:rPr>
        <w:t>Identifying the sources of risk by category is another method for exploring potential risk on a project. Some examples of categories for potential risks include the following:</w:t>
      </w:r>
    </w:p>
    <w:p w:rsidR="00A97670" w:rsidRPr="00A97670" w:rsidRDefault="00A97670" w:rsidP="00A97670">
      <w:pPr>
        <w:numPr>
          <w:ilvl w:val="0"/>
          <w:numId w:val="3"/>
        </w:numPr>
        <w:spacing w:after="160" w:line="259" w:lineRule="auto"/>
        <w:jc w:val="both"/>
        <w:rPr>
          <w:rFonts w:ascii="Arial" w:eastAsia="Calibri" w:hAnsi="Arial" w:cs="Arial"/>
          <w:sz w:val="24"/>
          <w:szCs w:val="24"/>
          <w:lang w:val="en-US"/>
        </w:rPr>
      </w:pPr>
      <w:r w:rsidRPr="00A97670">
        <w:rPr>
          <w:rFonts w:ascii="Arial" w:eastAsia="Calibri" w:hAnsi="Arial" w:cs="Arial"/>
          <w:sz w:val="24"/>
          <w:szCs w:val="24"/>
          <w:lang w:val="en-US"/>
        </w:rPr>
        <w:t>Technical</w:t>
      </w:r>
    </w:p>
    <w:p w:rsidR="00A97670" w:rsidRPr="00A97670" w:rsidRDefault="00A97670" w:rsidP="00A97670">
      <w:pPr>
        <w:numPr>
          <w:ilvl w:val="0"/>
          <w:numId w:val="3"/>
        </w:numPr>
        <w:spacing w:after="160" w:line="259" w:lineRule="auto"/>
        <w:jc w:val="both"/>
        <w:rPr>
          <w:rFonts w:ascii="Arial" w:eastAsia="Calibri" w:hAnsi="Arial" w:cs="Arial"/>
          <w:sz w:val="24"/>
          <w:szCs w:val="24"/>
          <w:lang w:val="en-US"/>
        </w:rPr>
      </w:pPr>
      <w:r w:rsidRPr="00A97670">
        <w:rPr>
          <w:rFonts w:ascii="Arial" w:eastAsia="Calibri" w:hAnsi="Arial" w:cs="Arial"/>
          <w:sz w:val="24"/>
          <w:szCs w:val="24"/>
          <w:lang w:val="en-US"/>
        </w:rPr>
        <w:t>Cost</w:t>
      </w:r>
    </w:p>
    <w:p w:rsidR="00A97670" w:rsidRPr="00A97670" w:rsidRDefault="00A97670" w:rsidP="00A97670">
      <w:pPr>
        <w:numPr>
          <w:ilvl w:val="0"/>
          <w:numId w:val="3"/>
        </w:numPr>
        <w:spacing w:after="160" w:line="259" w:lineRule="auto"/>
        <w:jc w:val="both"/>
        <w:rPr>
          <w:rFonts w:ascii="Arial" w:eastAsia="Calibri" w:hAnsi="Arial" w:cs="Arial"/>
          <w:sz w:val="24"/>
          <w:szCs w:val="24"/>
          <w:lang w:val="en-US"/>
        </w:rPr>
      </w:pPr>
      <w:r w:rsidRPr="00A97670">
        <w:rPr>
          <w:rFonts w:ascii="Arial" w:eastAsia="Calibri" w:hAnsi="Arial" w:cs="Arial"/>
          <w:sz w:val="24"/>
          <w:szCs w:val="24"/>
          <w:lang w:val="en-US"/>
        </w:rPr>
        <w:lastRenderedPageBreak/>
        <w:t>Schedule</w:t>
      </w:r>
    </w:p>
    <w:p w:rsidR="00A97670" w:rsidRPr="00A97670" w:rsidRDefault="00A97670" w:rsidP="00A97670">
      <w:pPr>
        <w:numPr>
          <w:ilvl w:val="0"/>
          <w:numId w:val="3"/>
        </w:numPr>
        <w:spacing w:after="160" w:line="259" w:lineRule="auto"/>
        <w:jc w:val="both"/>
        <w:rPr>
          <w:rFonts w:ascii="Arial" w:eastAsia="Calibri" w:hAnsi="Arial" w:cs="Arial"/>
          <w:sz w:val="24"/>
          <w:szCs w:val="24"/>
          <w:lang w:val="en-US"/>
        </w:rPr>
      </w:pPr>
      <w:r w:rsidRPr="00A97670">
        <w:rPr>
          <w:rFonts w:ascii="Arial" w:eastAsia="Calibri" w:hAnsi="Arial" w:cs="Arial"/>
          <w:sz w:val="24"/>
          <w:szCs w:val="24"/>
          <w:lang w:val="en-US"/>
        </w:rPr>
        <w:t>Client</w:t>
      </w:r>
    </w:p>
    <w:p w:rsidR="00A97670" w:rsidRPr="00A97670" w:rsidRDefault="00A97670" w:rsidP="00A97670">
      <w:pPr>
        <w:numPr>
          <w:ilvl w:val="0"/>
          <w:numId w:val="3"/>
        </w:numPr>
        <w:spacing w:after="160" w:line="259" w:lineRule="auto"/>
        <w:jc w:val="both"/>
        <w:rPr>
          <w:rFonts w:ascii="Arial" w:eastAsia="Calibri" w:hAnsi="Arial" w:cs="Arial"/>
          <w:sz w:val="24"/>
          <w:szCs w:val="24"/>
          <w:lang w:val="en-US"/>
        </w:rPr>
      </w:pPr>
      <w:r w:rsidRPr="00A97670">
        <w:rPr>
          <w:rFonts w:ascii="Arial" w:eastAsia="Calibri" w:hAnsi="Arial" w:cs="Arial"/>
          <w:sz w:val="24"/>
          <w:szCs w:val="24"/>
          <w:lang w:val="en-US"/>
        </w:rPr>
        <w:t>Contractual</w:t>
      </w:r>
    </w:p>
    <w:p w:rsidR="00A97670" w:rsidRPr="00A97670" w:rsidRDefault="00A97670" w:rsidP="00A97670">
      <w:pPr>
        <w:numPr>
          <w:ilvl w:val="0"/>
          <w:numId w:val="3"/>
        </w:numPr>
        <w:spacing w:after="160" w:line="259" w:lineRule="auto"/>
        <w:jc w:val="both"/>
        <w:rPr>
          <w:rFonts w:ascii="Arial" w:eastAsia="Calibri" w:hAnsi="Arial" w:cs="Arial"/>
          <w:sz w:val="24"/>
          <w:szCs w:val="24"/>
          <w:lang w:val="en-US"/>
        </w:rPr>
      </w:pPr>
      <w:r w:rsidRPr="00A97670">
        <w:rPr>
          <w:rFonts w:ascii="Arial" w:eastAsia="Calibri" w:hAnsi="Arial" w:cs="Arial"/>
          <w:sz w:val="24"/>
          <w:szCs w:val="24"/>
          <w:lang w:val="en-US"/>
        </w:rPr>
        <w:t>Weather</w:t>
      </w:r>
    </w:p>
    <w:p w:rsidR="00A97670" w:rsidRPr="00A97670" w:rsidRDefault="00A97670" w:rsidP="00A97670">
      <w:pPr>
        <w:numPr>
          <w:ilvl w:val="0"/>
          <w:numId w:val="3"/>
        </w:numPr>
        <w:spacing w:after="160" w:line="259" w:lineRule="auto"/>
        <w:jc w:val="both"/>
        <w:rPr>
          <w:rFonts w:ascii="Arial" w:eastAsia="Calibri" w:hAnsi="Arial" w:cs="Arial"/>
          <w:sz w:val="24"/>
          <w:szCs w:val="24"/>
          <w:lang w:val="en-US"/>
        </w:rPr>
      </w:pPr>
      <w:r w:rsidRPr="00A97670">
        <w:rPr>
          <w:rFonts w:ascii="Arial" w:eastAsia="Calibri" w:hAnsi="Arial" w:cs="Arial"/>
          <w:sz w:val="24"/>
          <w:szCs w:val="24"/>
          <w:lang w:val="en-US"/>
        </w:rPr>
        <w:t>Financial</w:t>
      </w:r>
    </w:p>
    <w:p w:rsidR="00A97670" w:rsidRPr="00A97670" w:rsidRDefault="00A97670" w:rsidP="00A97670">
      <w:pPr>
        <w:numPr>
          <w:ilvl w:val="0"/>
          <w:numId w:val="3"/>
        </w:numPr>
        <w:spacing w:after="160" w:line="259" w:lineRule="auto"/>
        <w:jc w:val="both"/>
        <w:rPr>
          <w:rFonts w:ascii="Arial" w:eastAsia="Calibri" w:hAnsi="Arial" w:cs="Arial"/>
          <w:sz w:val="24"/>
          <w:szCs w:val="24"/>
          <w:lang w:val="en-US"/>
        </w:rPr>
      </w:pPr>
      <w:r w:rsidRPr="00A97670">
        <w:rPr>
          <w:rFonts w:ascii="Arial" w:eastAsia="Calibri" w:hAnsi="Arial" w:cs="Arial"/>
          <w:sz w:val="24"/>
          <w:szCs w:val="24"/>
          <w:lang w:val="en-US"/>
        </w:rPr>
        <w:t>Political</w:t>
      </w:r>
    </w:p>
    <w:p w:rsidR="00A97670" w:rsidRPr="00A97670" w:rsidRDefault="00A97670" w:rsidP="00A97670">
      <w:pPr>
        <w:numPr>
          <w:ilvl w:val="0"/>
          <w:numId w:val="3"/>
        </w:numPr>
        <w:spacing w:after="160" w:line="259" w:lineRule="auto"/>
        <w:jc w:val="both"/>
        <w:rPr>
          <w:rFonts w:ascii="Arial" w:eastAsia="Calibri" w:hAnsi="Arial" w:cs="Arial"/>
          <w:sz w:val="24"/>
          <w:szCs w:val="24"/>
          <w:lang w:val="en-US"/>
        </w:rPr>
      </w:pPr>
      <w:r w:rsidRPr="00A97670">
        <w:rPr>
          <w:rFonts w:ascii="Arial" w:eastAsia="Calibri" w:hAnsi="Arial" w:cs="Arial"/>
          <w:sz w:val="24"/>
          <w:szCs w:val="24"/>
          <w:lang w:val="en-US"/>
        </w:rPr>
        <w:t>Environmental</w:t>
      </w:r>
    </w:p>
    <w:p w:rsidR="00A97670" w:rsidRPr="00A97670" w:rsidRDefault="00A97670" w:rsidP="00A97670">
      <w:pPr>
        <w:numPr>
          <w:ilvl w:val="0"/>
          <w:numId w:val="3"/>
        </w:numPr>
        <w:spacing w:after="160" w:line="259" w:lineRule="auto"/>
        <w:jc w:val="both"/>
        <w:rPr>
          <w:rFonts w:ascii="Arial" w:eastAsia="Calibri" w:hAnsi="Arial" w:cs="Arial"/>
          <w:sz w:val="24"/>
          <w:szCs w:val="24"/>
          <w:lang w:val="en-US"/>
        </w:rPr>
      </w:pPr>
      <w:r w:rsidRPr="00A97670">
        <w:rPr>
          <w:rFonts w:ascii="Arial" w:eastAsia="Calibri" w:hAnsi="Arial" w:cs="Arial"/>
          <w:sz w:val="24"/>
          <w:szCs w:val="24"/>
          <w:lang w:val="en-US"/>
        </w:rPr>
        <w:t>People</w:t>
      </w:r>
    </w:p>
    <w:p w:rsidR="00A97670" w:rsidRPr="00A97670" w:rsidRDefault="00A97670" w:rsidP="00A97670">
      <w:pPr>
        <w:spacing w:after="160" w:line="259" w:lineRule="auto"/>
        <w:jc w:val="both"/>
        <w:rPr>
          <w:rFonts w:ascii="Arial" w:eastAsia="Calibri" w:hAnsi="Arial" w:cs="Arial"/>
          <w:sz w:val="24"/>
          <w:szCs w:val="24"/>
          <w:lang w:val="en-US"/>
        </w:rPr>
      </w:pPr>
      <w:r w:rsidRPr="00A97670">
        <w:rPr>
          <w:rFonts w:ascii="Arial" w:eastAsia="Calibri" w:hAnsi="Arial" w:cs="Arial"/>
          <w:sz w:val="24"/>
          <w:szCs w:val="24"/>
          <w:lang w:val="en-US"/>
        </w:rPr>
        <w:t xml:space="preserve">The people category can be subdivided into risks associated with the people. Examples of people risks include the risk of not finding the skills needed to execute the project or the sudden unavailability of key people on the project. </w:t>
      </w:r>
    </w:p>
    <w:p w:rsidR="00A97670" w:rsidRPr="00A97670" w:rsidRDefault="00A97670" w:rsidP="00A97670">
      <w:pPr>
        <w:spacing w:after="160" w:line="259" w:lineRule="auto"/>
        <w:jc w:val="both"/>
        <w:rPr>
          <w:rFonts w:ascii="Arial" w:eastAsia="Calibri" w:hAnsi="Arial" w:cs="Arial"/>
          <w:sz w:val="24"/>
          <w:szCs w:val="24"/>
          <w:lang w:val="en-US"/>
        </w:rPr>
      </w:pPr>
      <w:r w:rsidRPr="00A97670">
        <w:rPr>
          <w:rFonts w:ascii="Arial" w:eastAsia="Calibri" w:hAnsi="Arial" w:cs="Arial"/>
          <w:b/>
          <w:sz w:val="24"/>
          <w:szCs w:val="24"/>
          <w:lang w:val="en-US"/>
        </w:rPr>
        <w:t>David Hillson</w:t>
      </w:r>
      <w:r w:rsidRPr="00A97670">
        <w:rPr>
          <w:rFonts w:ascii="Arial" w:eastAsia="Calibri" w:hAnsi="Arial" w:cs="Arial"/>
          <w:sz w:val="24"/>
          <w:szCs w:val="24"/>
          <w:lang w:val="en-US"/>
        </w:rPr>
        <w:t xml:space="preserve"> uses the same framework as the work breakdown structure (WBS) for developing a </w:t>
      </w:r>
      <w:r w:rsidRPr="00A97670">
        <w:rPr>
          <w:rFonts w:ascii="Arial" w:eastAsia="Calibri" w:hAnsi="Arial" w:cs="Arial"/>
          <w:b/>
          <w:bCs/>
          <w:i/>
          <w:iCs/>
          <w:sz w:val="24"/>
          <w:szCs w:val="24"/>
          <w:lang w:val="en-US"/>
        </w:rPr>
        <w:t>risk breakdown structure (RBS)</w:t>
      </w:r>
      <w:r w:rsidRPr="00A97670">
        <w:rPr>
          <w:rFonts w:ascii="Arial" w:eastAsia="Calibri" w:hAnsi="Arial" w:cs="Arial"/>
          <w:sz w:val="24"/>
          <w:szCs w:val="24"/>
          <w:lang w:val="en-US"/>
        </w:rPr>
        <w:t>. A risk breakdown structure organizes the risks that have been identified into categories using a table with increasing levels of detail to the right.</w:t>
      </w:r>
    </w:p>
    <w:p w:rsidR="00A97670" w:rsidRPr="00A97670" w:rsidRDefault="00A97670" w:rsidP="00A97670">
      <w:pPr>
        <w:spacing w:after="160" w:line="259" w:lineRule="auto"/>
        <w:jc w:val="both"/>
        <w:rPr>
          <w:rFonts w:ascii="Arial" w:eastAsia="Calibri" w:hAnsi="Arial" w:cs="Arial"/>
          <w:sz w:val="24"/>
          <w:szCs w:val="24"/>
          <w:lang w:val="en-US"/>
        </w:rPr>
      </w:pPr>
      <w:r w:rsidRPr="00A97670">
        <w:rPr>
          <w:rFonts w:ascii="Arial" w:eastAsia="Calibri" w:hAnsi="Arial" w:cs="Arial"/>
          <w:b/>
          <w:sz w:val="24"/>
          <w:szCs w:val="24"/>
          <w:lang w:val="en-US"/>
        </w:rPr>
        <w:t>In John’s move</w:t>
      </w:r>
      <w:r w:rsidRPr="00A97670">
        <w:rPr>
          <w:rFonts w:ascii="Arial" w:eastAsia="Calibri" w:hAnsi="Arial" w:cs="Arial"/>
          <w:sz w:val="24"/>
          <w:szCs w:val="24"/>
          <w:lang w:val="en-US"/>
        </w:rPr>
        <w:t xml:space="preserve">, John makes a list of things that might go wrong with his project and uses his work breakdown structure as a guide. </w:t>
      </w:r>
    </w:p>
    <w:p w:rsidR="00A97670" w:rsidRPr="00A97670" w:rsidRDefault="00A97670" w:rsidP="00A97670">
      <w:pPr>
        <w:spacing w:after="160" w:line="259" w:lineRule="auto"/>
        <w:jc w:val="both"/>
        <w:rPr>
          <w:rFonts w:ascii="Arial" w:eastAsia="Calibri" w:hAnsi="Arial" w:cs="Arial"/>
          <w:sz w:val="24"/>
          <w:szCs w:val="24"/>
          <w:lang w:val="en-US"/>
        </w:rPr>
      </w:pPr>
      <w:r w:rsidRPr="00A97670">
        <w:rPr>
          <w:rFonts w:ascii="Arial" w:eastAsia="Calibri" w:hAnsi="Arial" w:cs="Arial"/>
          <w:sz w:val="24"/>
          <w:szCs w:val="24"/>
          <w:lang w:val="en-US"/>
        </w:rPr>
        <w:t>The result is a clearer understanding of where risks are most concentrated. Hillson’s approach helps the project team identify known risks, but can be restrictive and less creative in identifying unknown risks and risks not easily found inside the work breakdown structure.</w:t>
      </w:r>
    </w:p>
    <w:p w:rsidR="00A97670" w:rsidRPr="00A97670" w:rsidRDefault="00A97670" w:rsidP="00A97670">
      <w:pPr>
        <w:spacing w:after="160" w:line="259" w:lineRule="auto"/>
        <w:jc w:val="both"/>
        <w:rPr>
          <w:rFonts w:ascii="Arial" w:eastAsia="Calibri" w:hAnsi="Arial" w:cs="Arial"/>
          <w:sz w:val="24"/>
          <w:szCs w:val="24"/>
          <w:lang w:val="en-US"/>
        </w:rPr>
      </w:pPr>
    </w:p>
    <w:p w:rsidR="00A97670" w:rsidRPr="00A97670" w:rsidRDefault="00A97670" w:rsidP="00A97670">
      <w:pPr>
        <w:spacing w:after="160" w:line="259" w:lineRule="auto"/>
        <w:jc w:val="both"/>
        <w:rPr>
          <w:rFonts w:ascii="Arial" w:eastAsia="Calibri" w:hAnsi="Arial" w:cs="Arial"/>
          <w:b/>
          <w:sz w:val="24"/>
          <w:szCs w:val="24"/>
          <w:lang w:val="en-US"/>
        </w:rPr>
      </w:pPr>
      <w:r w:rsidRPr="00A97670">
        <w:rPr>
          <w:rFonts w:ascii="Arial" w:eastAsia="Calibri" w:hAnsi="Arial" w:cs="Arial"/>
          <w:b/>
          <w:sz w:val="24"/>
          <w:szCs w:val="24"/>
          <w:lang w:val="en-US"/>
        </w:rPr>
        <w:t xml:space="preserve">REFRENCES </w:t>
      </w:r>
    </w:p>
    <w:p w:rsidR="00A97670" w:rsidRPr="00A97670" w:rsidRDefault="00A97670" w:rsidP="00A97670">
      <w:pPr>
        <w:spacing w:after="160" w:line="259" w:lineRule="auto"/>
        <w:jc w:val="both"/>
        <w:rPr>
          <w:rFonts w:ascii="Arial" w:eastAsia="Calibri" w:hAnsi="Arial" w:cs="Arial"/>
          <w:sz w:val="24"/>
          <w:szCs w:val="24"/>
          <w:lang w:val="en-US"/>
        </w:rPr>
      </w:pPr>
    </w:p>
    <w:p w:rsidR="00A97670" w:rsidRPr="00A97670" w:rsidRDefault="00A97670" w:rsidP="00A97670">
      <w:pPr>
        <w:spacing w:after="160" w:line="259" w:lineRule="auto"/>
        <w:jc w:val="both"/>
        <w:rPr>
          <w:rFonts w:ascii="Arial" w:eastAsia="Calibri" w:hAnsi="Arial" w:cs="Arial"/>
          <w:sz w:val="24"/>
          <w:szCs w:val="24"/>
          <w:lang w:val="en-US"/>
        </w:rPr>
      </w:pPr>
      <w:r w:rsidRPr="00A97670">
        <w:rPr>
          <w:rFonts w:ascii="Arial" w:eastAsia="Calibri" w:hAnsi="Arial" w:cs="Arial"/>
          <w:sz w:val="24"/>
          <w:szCs w:val="24"/>
          <w:lang w:val="en-US"/>
        </w:rPr>
        <w:t>David Hillson, “Using a Risk Breakdown Structure in Project Management,” Journal of Facilities Management 2, no. 1 (2003): 85–97.</w:t>
      </w:r>
    </w:p>
    <w:p w:rsidR="00A97670" w:rsidRPr="00A97670" w:rsidRDefault="00A97670" w:rsidP="00A97670">
      <w:pPr>
        <w:spacing w:after="160" w:line="259" w:lineRule="auto"/>
        <w:jc w:val="both"/>
        <w:rPr>
          <w:rFonts w:ascii="Arial" w:eastAsia="Calibri" w:hAnsi="Arial" w:cs="Arial"/>
          <w:sz w:val="24"/>
          <w:szCs w:val="24"/>
          <w:lang w:val="en-US"/>
        </w:rPr>
      </w:pPr>
    </w:p>
    <w:p w:rsidR="00EA30AB" w:rsidRPr="00A97670" w:rsidRDefault="00EA30AB" w:rsidP="00503D7E">
      <w:pPr>
        <w:rPr>
          <w:rFonts w:cs="Times New Roman"/>
          <w:sz w:val="24"/>
          <w:szCs w:val="32"/>
          <w:lang w:val="en-US"/>
        </w:rPr>
      </w:pPr>
    </w:p>
    <w:sectPr w:rsidR="00EA30AB" w:rsidRPr="00A97670"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02C7" w:rsidRDefault="005B02C7" w:rsidP="00CB4D0A">
      <w:pPr>
        <w:spacing w:after="0" w:line="240" w:lineRule="auto"/>
      </w:pPr>
      <w:r>
        <w:separator/>
      </w:r>
    </w:p>
  </w:endnote>
  <w:endnote w:type="continuationSeparator" w:id="0">
    <w:p w:rsidR="005B02C7" w:rsidRDefault="005B02C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02C7" w:rsidRDefault="005B02C7" w:rsidP="00CB4D0A">
      <w:pPr>
        <w:spacing w:after="0" w:line="240" w:lineRule="auto"/>
      </w:pPr>
      <w:r>
        <w:separator/>
      </w:r>
    </w:p>
  </w:footnote>
  <w:footnote w:type="continuationSeparator" w:id="0">
    <w:p w:rsidR="005B02C7" w:rsidRDefault="005B02C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A36312"/>
    <w:multiLevelType w:val="hybridMultilevel"/>
    <w:tmpl w:val="CBC83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DB3B17"/>
    <w:multiLevelType w:val="hybridMultilevel"/>
    <w:tmpl w:val="3CAE6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EF37C4"/>
    <w:multiLevelType w:val="multilevel"/>
    <w:tmpl w:val="29F05B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5F6AE3"/>
    <w:multiLevelType w:val="hybridMultilevel"/>
    <w:tmpl w:val="BE5658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B0BD7"/>
    <w:rsid w:val="002B573D"/>
    <w:rsid w:val="002C5CB2"/>
    <w:rsid w:val="00371885"/>
    <w:rsid w:val="00405895"/>
    <w:rsid w:val="004058DF"/>
    <w:rsid w:val="00486F1A"/>
    <w:rsid w:val="00490CB9"/>
    <w:rsid w:val="004A2CE2"/>
    <w:rsid w:val="004E3CDA"/>
    <w:rsid w:val="004F4B4D"/>
    <w:rsid w:val="0050216D"/>
    <w:rsid w:val="00503D7E"/>
    <w:rsid w:val="0050778F"/>
    <w:rsid w:val="00535F31"/>
    <w:rsid w:val="00591365"/>
    <w:rsid w:val="005B02C7"/>
    <w:rsid w:val="005B31E4"/>
    <w:rsid w:val="006034F6"/>
    <w:rsid w:val="00607874"/>
    <w:rsid w:val="00607E77"/>
    <w:rsid w:val="00617BB3"/>
    <w:rsid w:val="00645CDD"/>
    <w:rsid w:val="006823A7"/>
    <w:rsid w:val="0070347F"/>
    <w:rsid w:val="0070678E"/>
    <w:rsid w:val="00831C11"/>
    <w:rsid w:val="008A60B4"/>
    <w:rsid w:val="008B3C31"/>
    <w:rsid w:val="00935BF7"/>
    <w:rsid w:val="0095442C"/>
    <w:rsid w:val="00983942"/>
    <w:rsid w:val="009C37E0"/>
    <w:rsid w:val="00A14B66"/>
    <w:rsid w:val="00A65CF7"/>
    <w:rsid w:val="00A851DA"/>
    <w:rsid w:val="00A97670"/>
    <w:rsid w:val="00AC7D5B"/>
    <w:rsid w:val="00AE1481"/>
    <w:rsid w:val="00B0415E"/>
    <w:rsid w:val="00B04678"/>
    <w:rsid w:val="00C03577"/>
    <w:rsid w:val="00C65FEA"/>
    <w:rsid w:val="00CA0AC2"/>
    <w:rsid w:val="00CB4D0A"/>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8CBF2E5-FEA8-42FA-89F7-63217EF64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F4145A-AC65-4D67-BE0F-83866F812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1331</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Alice Macharia</cp:lastModifiedBy>
  <cp:revision>2</cp:revision>
  <dcterms:created xsi:type="dcterms:W3CDTF">2015-08-27T08:45:00Z</dcterms:created>
  <dcterms:modified xsi:type="dcterms:W3CDTF">2015-08-27T08:45:00Z</dcterms:modified>
</cp:coreProperties>
</file>