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C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pPr>
              <w:pStyle w:val="Default"/>
              <w:rPr>
                <w:rFonts w:asciiTheme="minorHAnsi" w:hAnsiTheme="minorHAnsi"/>
              </w:rPr>
            </w:pPr>
            <w:r>
              <w:rPr>
                <w:rFonts w:asciiTheme="minorHAnsi" w:hAnsiTheme="minorHAnsi"/>
              </w:rPr>
              <w:t>Jane Aloyo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8DE">
            <w:pPr>
              <w:pStyle w:val="Default"/>
              <w:rPr>
                <w:rFonts w:asciiTheme="minorHAnsi" w:hAnsiTheme="minorHAnsi"/>
              </w:rPr>
            </w:pPr>
            <w:r>
              <w:rPr>
                <w:rFonts w:asciiTheme="minorHAnsi" w:hAnsiTheme="minorHAnsi"/>
              </w:rPr>
              <w:t>1673</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38DE" w:rsidRDefault="00A851DA" w:rsidP="001038DE">
            <w:pPr>
              <w:pStyle w:val="Default"/>
              <w:rPr>
                <w:rFonts w:asciiTheme="minorHAnsi" w:hAnsiTheme="minorHAnsi"/>
              </w:rPr>
            </w:pPr>
            <w:r w:rsidRPr="001038DE">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A5C" w:rsidP="001038DE">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A5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D7A5C" w:rsidRPr="00A7336E" w:rsidRDefault="002D7A5C" w:rsidP="002D7A5C">
            <w:pPr>
              <w:pStyle w:val="ListParagraph"/>
              <w:ind w:left="1440"/>
              <w:rPr>
                <w:rFonts w:ascii="Arial" w:hAnsi="Arial" w:cs="Arial"/>
                <w:color w:val="000000"/>
                <w:sz w:val="24"/>
                <w:szCs w:val="24"/>
              </w:rPr>
            </w:pPr>
            <w:r w:rsidRPr="00A7336E">
              <w:rPr>
                <w:rFonts w:ascii="Arial" w:hAnsi="Arial" w:cs="Arial"/>
                <w:color w:val="000000"/>
                <w:sz w:val="24"/>
                <w:szCs w:val="24"/>
              </w:rPr>
              <w:t xml:space="preserve">1. Give short answers </w:t>
            </w:r>
            <w:r>
              <w:rPr>
                <w:rFonts w:ascii="Arial" w:hAnsi="Arial" w:cs="Arial"/>
                <w:color w:val="000000"/>
                <w:sz w:val="24"/>
                <w:szCs w:val="24"/>
              </w:rPr>
              <w:t xml:space="preserve">for the following questions: </w:t>
            </w:r>
          </w:p>
          <w:p w:rsidR="002D7A5C" w:rsidRDefault="002D7A5C" w:rsidP="002D7A5C">
            <w:pPr>
              <w:pStyle w:val="ListParagraph"/>
              <w:ind w:left="1440"/>
              <w:rPr>
                <w:rFonts w:ascii="Arial" w:hAnsi="Arial" w:cs="Arial"/>
                <w:color w:val="000000"/>
                <w:sz w:val="24"/>
                <w:szCs w:val="24"/>
              </w:rPr>
            </w:pPr>
            <w:r w:rsidRPr="00A7336E">
              <w:rPr>
                <w:rFonts w:ascii="Arial" w:hAnsi="Arial" w:cs="Arial"/>
                <w:color w:val="000000"/>
                <w:sz w:val="24"/>
                <w:szCs w:val="24"/>
              </w:rPr>
              <w:t>i. In what way do the effects of crime influence economy?</w:t>
            </w:r>
          </w:p>
          <w:p w:rsidR="002D7A5C"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Crime has two effects on the economy; microeconomic and macroeconomic effects. The effect of crime on an individual or a business is evaluated under microeconomic effects while the effects on local communities, domestic and global markets is evaluated under macroeconomic effects.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Under microeconomic effects the victim who may be an individual or a business may lose money or property. It may be hard to assess to value of the loss even after prosecuting the criminal.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Under macroeconomic effects of crime on local communities and at regional, national and international scales are investigated. </w:t>
            </w:r>
          </w:p>
          <w:p w:rsidR="002D7A5C" w:rsidRPr="00A7336E"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sidRPr="00A7336E">
              <w:rPr>
                <w:rFonts w:ascii="Arial" w:hAnsi="Arial" w:cs="Arial"/>
                <w:color w:val="000000"/>
                <w:sz w:val="24"/>
                <w:szCs w:val="24"/>
              </w:rPr>
              <w:t>ii. How does crime costs the economy and tax payers?</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Crime costs the economy and tax payers because tax payer’s money is used to cover the costs of preventing crime and dealing with the effects of crime at the cost of providing other public goods.  Below are some of expenses incurred by the tax payer in dealing with crime:</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Law enforcement – costs incurred in maintaining a police force</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Crime Prevention – community programmes to prevent crime which are often supported by the tax payer</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Drug rehabilitation and prevention programs supported by public and private funding</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lastRenderedPageBreak/>
              <w:t>Incarceration - prison facilities and maintenance costs are footed by the taxpayer</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Courts - the costs of operating maintaining a legal system is often funded by taxes</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The cost of employing prosecutors</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The costs of hiring public defenders who are often unable to afford a defence attorney comes at the expense of the taxpayer</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 xml:space="preserve">The hospitalisation costs of victims and that of the justice system employees </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Businesses who lose gains due to criminal acts may have to raise prices or lay off employees to offset expenditures</w:t>
            </w:r>
          </w:p>
          <w:p w:rsidR="002D7A5C" w:rsidRDefault="002D7A5C" w:rsidP="002D7A5C">
            <w:pPr>
              <w:pStyle w:val="ListParagraph"/>
              <w:numPr>
                <w:ilvl w:val="0"/>
                <w:numId w:val="7"/>
              </w:numPr>
              <w:spacing w:after="160" w:line="259" w:lineRule="auto"/>
              <w:rPr>
                <w:rFonts w:ascii="Arial" w:hAnsi="Arial" w:cs="Arial"/>
                <w:color w:val="000000"/>
                <w:sz w:val="24"/>
                <w:szCs w:val="24"/>
              </w:rPr>
            </w:pPr>
            <w:r>
              <w:rPr>
                <w:rFonts w:ascii="Arial" w:hAnsi="Arial" w:cs="Arial"/>
                <w:color w:val="000000"/>
                <w:sz w:val="24"/>
                <w:szCs w:val="24"/>
              </w:rPr>
              <w:t xml:space="preserve">Insurance companies may charge higher premiums with increased need for coverage due to crimes to increased claims. </w:t>
            </w:r>
          </w:p>
          <w:p w:rsidR="002D7A5C" w:rsidRDefault="002D7A5C" w:rsidP="002D7A5C">
            <w:pPr>
              <w:pStyle w:val="ListParagraph"/>
              <w:ind w:left="2160"/>
              <w:rPr>
                <w:rFonts w:ascii="Arial" w:hAnsi="Arial" w:cs="Arial"/>
                <w:color w:val="000000"/>
                <w:sz w:val="24"/>
                <w:szCs w:val="24"/>
              </w:rPr>
            </w:pPr>
          </w:p>
          <w:p w:rsidR="002D7A5C" w:rsidRDefault="002D7A5C" w:rsidP="002D7A5C">
            <w:pPr>
              <w:pStyle w:val="ListParagraph"/>
              <w:ind w:left="2160"/>
              <w:rPr>
                <w:rFonts w:ascii="Arial" w:hAnsi="Arial" w:cs="Arial"/>
                <w:color w:val="000000"/>
                <w:sz w:val="24"/>
                <w:szCs w:val="24"/>
              </w:rPr>
            </w:pPr>
          </w:p>
          <w:p w:rsidR="002D7A5C" w:rsidRPr="00A7336E" w:rsidRDefault="002D7A5C" w:rsidP="002D7A5C">
            <w:pPr>
              <w:pStyle w:val="ListParagraph"/>
              <w:ind w:left="216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sidRPr="00A7336E">
              <w:rPr>
                <w:rFonts w:ascii="Arial" w:hAnsi="Arial" w:cs="Arial"/>
                <w:color w:val="000000"/>
                <w:sz w:val="24"/>
                <w:szCs w:val="24"/>
              </w:rPr>
              <w:t>iii. What is ‘Arson’?</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Arson is the malicious and intentional burning of another person’s dwelling. In order for a charge of arson to be applied a significant part of one’s property must have been damaged. Insignificant damage to property do not qualify as arson. A charge of arson can also be applied when a person destroys a building by fire while in the act of committing another crime. </w:t>
            </w:r>
          </w:p>
          <w:p w:rsidR="002D7A5C" w:rsidRPr="00A7336E"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sidRPr="00A7336E">
              <w:rPr>
                <w:rFonts w:ascii="Arial" w:hAnsi="Arial" w:cs="Arial"/>
                <w:color w:val="000000"/>
                <w:sz w:val="24"/>
                <w:szCs w:val="24"/>
              </w:rPr>
              <w:t>iv. What is money laundering? Point out some activities which could encompass</w:t>
            </w:r>
            <w:r>
              <w:rPr>
                <w:rFonts w:ascii="Arial" w:hAnsi="Arial" w:cs="Arial"/>
                <w:color w:val="000000"/>
                <w:sz w:val="24"/>
                <w:szCs w:val="24"/>
              </w:rPr>
              <w:t xml:space="preserve"> </w:t>
            </w:r>
            <w:r w:rsidRPr="00A7336E">
              <w:rPr>
                <w:rFonts w:ascii="Arial" w:hAnsi="Arial" w:cs="Arial"/>
                <w:color w:val="000000"/>
                <w:sz w:val="24"/>
                <w:szCs w:val="24"/>
              </w:rPr>
              <w:t>money laundering.</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Money laundering is the concealing of gains from unlawful activities through various schemes.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Some activities which encompass money laundering are;</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 xml:space="preserve">Cross border transfers of money and monetary instruments </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Purchase of property with large amounts of cash</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Depositing large sums of money in various financial institutions</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Maintaining offshore bank accounts with huge amounts of money</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Transmission of public funds</w:t>
            </w:r>
          </w:p>
          <w:p w:rsidR="002D7A5C" w:rsidRDefault="002D7A5C" w:rsidP="002D7A5C">
            <w:pPr>
              <w:pStyle w:val="ListParagraph"/>
              <w:numPr>
                <w:ilvl w:val="0"/>
                <w:numId w:val="8"/>
              </w:numPr>
              <w:spacing w:after="160" w:line="259" w:lineRule="auto"/>
              <w:rPr>
                <w:rFonts w:ascii="Arial" w:hAnsi="Arial" w:cs="Arial"/>
                <w:color w:val="000000"/>
                <w:sz w:val="24"/>
                <w:szCs w:val="24"/>
              </w:rPr>
            </w:pPr>
            <w:r>
              <w:rPr>
                <w:rFonts w:ascii="Arial" w:hAnsi="Arial" w:cs="Arial"/>
                <w:color w:val="000000"/>
                <w:sz w:val="24"/>
                <w:szCs w:val="24"/>
              </w:rPr>
              <w:t>Unlawful gain of money</w:t>
            </w:r>
          </w:p>
          <w:p w:rsidR="002D7A5C"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CASE STUDY</w:t>
            </w:r>
          </w:p>
          <w:p w:rsidR="002D7A5C"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sidRPr="0036334F">
              <w:rPr>
                <w:rFonts w:ascii="Arial" w:hAnsi="Arial" w:cs="Arial"/>
                <w:color w:val="000000"/>
                <w:sz w:val="24"/>
                <w:szCs w:val="24"/>
              </w:rPr>
              <w:t>Based on the above case, what do you think that the forensic accountant would have assessed</w:t>
            </w:r>
            <w:r>
              <w:rPr>
                <w:rFonts w:ascii="Arial" w:hAnsi="Arial" w:cs="Arial"/>
                <w:color w:val="000000"/>
                <w:sz w:val="24"/>
                <w:szCs w:val="24"/>
              </w:rPr>
              <w:t xml:space="preserve"> </w:t>
            </w:r>
            <w:r w:rsidRPr="0036334F">
              <w:rPr>
                <w:rFonts w:ascii="Arial" w:hAnsi="Arial" w:cs="Arial"/>
                <w:color w:val="000000"/>
                <w:sz w:val="24"/>
                <w:szCs w:val="24"/>
              </w:rPr>
              <w:t>to get to know the actual facts about the monies? And how he was able to conclude that the</w:t>
            </w:r>
            <w:r>
              <w:rPr>
                <w:rFonts w:ascii="Arial" w:hAnsi="Arial" w:cs="Arial"/>
                <w:color w:val="000000"/>
                <w:sz w:val="24"/>
                <w:szCs w:val="24"/>
              </w:rPr>
              <w:t xml:space="preserve"> </w:t>
            </w:r>
            <w:r w:rsidRPr="0036334F">
              <w:rPr>
                <w:rFonts w:ascii="Arial" w:hAnsi="Arial" w:cs="Arial"/>
                <w:color w:val="000000"/>
                <w:sz w:val="24"/>
                <w:szCs w:val="24"/>
              </w:rPr>
              <w:t>husband and wife must have had access to unidentified sources of income?</w:t>
            </w:r>
          </w:p>
          <w:p w:rsidR="002D7A5C"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lastRenderedPageBreak/>
              <w:t xml:space="preserve">The forensic accountant must base his assessment on a predication initiated by a lawyer. Since there is not enough evidence he then has to develop a fraud theory approach. Here a brainstorming session is held to propose a probable fraud scheme and how the couple used this to acquire these large sums of money.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Based on this theory a fraud investigation plan is developed and the forensic accountant devises a method of collecting adequate and relevant forensic evidence. Here the couple’s financial records such as bank account statements, expenditure reports such as credit and debit card statements can be assessed. Connections of the couple such as employees, colleagues, </w:t>
            </w:r>
            <w:r>
              <w:rPr>
                <w:rFonts w:ascii="Arial" w:hAnsi="Arial" w:cs="Arial"/>
                <w:color w:val="000000"/>
                <w:sz w:val="24"/>
                <w:szCs w:val="24"/>
              </w:rPr>
              <w:t>neighbors</w:t>
            </w:r>
            <w:r>
              <w:rPr>
                <w:rFonts w:ascii="Arial" w:hAnsi="Arial" w:cs="Arial"/>
                <w:color w:val="000000"/>
                <w:sz w:val="24"/>
                <w:szCs w:val="24"/>
              </w:rPr>
              <w:t xml:space="preserve">, family and friends can also be interviewed to establish sources of income, habits and activities of the couple which could be associated beyond reasonable doubt to fraud. Finally the forensic accountant could interview the couple.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In the process the forensic accountant must make sure to safeguard all kinds of evidence collected.</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The forensic accountant can conclude that the couple has extra sources of income if after collecting all evidence it is established that the couple’s cash at hand far exceeds incomes from all different known and legal sources and expenditures. </w:t>
            </w:r>
          </w:p>
          <w:p w:rsidR="002D7A5C" w:rsidRDefault="002D7A5C" w:rsidP="002D7A5C">
            <w:pPr>
              <w:pStyle w:val="ListParagraph"/>
              <w:ind w:left="1440"/>
              <w:rPr>
                <w:rFonts w:ascii="Arial" w:hAnsi="Arial" w:cs="Arial"/>
                <w:color w:val="000000"/>
                <w:sz w:val="24"/>
                <w:szCs w:val="24"/>
              </w:rPr>
            </w:pPr>
            <w:r>
              <w:rPr>
                <w:rFonts w:ascii="Arial" w:hAnsi="Arial" w:cs="Arial"/>
                <w:color w:val="000000"/>
                <w:sz w:val="24"/>
                <w:szCs w:val="24"/>
              </w:rPr>
              <w:t xml:space="preserve"> </w:t>
            </w:r>
          </w:p>
          <w:p w:rsidR="002D7A5C" w:rsidRDefault="002D7A5C" w:rsidP="002D7A5C">
            <w:pPr>
              <w:pStyle w:val="ListParagraph"/>
              <w:ind w:left="1440"/>
              <w:rPr>
                <w:rFonts w:ascii="Arial" w:hAnsi="Arial" w:cs="Arial"/>
                <w:color w:val="000000"/>
                <w:sz w:val="24"/>
                <w:szCs w:val="24"/>
              </w:rPr>
            </w:pPr>
          </w:p>
          <w:p w:rsidR="002D7A5C" w:rsidRDefault="002D7A5C" w:rsidP="002D7A5C">
            <w:pPr>
              <w:pStyle w:val="ListParagraph"/>
              <w:ind w:left="1440"/>
              <w:rPr>
                <w:rFonts w:ascii="Arial" w:hAnsi="Arial" w:cs="Arial"/>
                <w:color w:val="000000"/>
                <w:sz w:val="24"/>
                <w:szCs w:val="24"/>
              </w:rPr>
            </w:pPr>
          </w:p>
          <w:p w:rsidR="002D7A5C" w:rsidRPr="007854E5" w:rsidRDefault="002D7A5C" w:rsidP="002D7A5C">
            <w:pPr>
              <w:pStyle w:val="ListParagraph"/>
              <w:ind w:left="1440"/>
              <w:rPr>
                <w:rFonts w:ascii="Arial" w:hAnsi="Arial" w:cs="Arial"/>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38DE" w:rsidP="00A851DA">
            <w:pPr>
              <w:rPr>
                <w:rFonts w:cs="Bliss-Regular"/>
                <w:color w:val="000000"/>
              </w:rPr>
            </w:pPr>
            <w:r>
              <w:rPr>
                <w:rFonts w:cs="Bliss-Regular"/>
                <w:color w:val="000000"/>
              </w:rPr>
              <w:t>JANE ALOYO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2FC1" w:rsidP="00A851DA">
            <w:pPr>
              <w:rPr>
                <w:rFonts w:cs="Bliss-Regular"/>
                <w:color w:val="000000"/>
              </w:rPr>
            </w:pPr>
            <w:r>
              <w:rPr>
                <w:rFonts w:cs="Bliss-Regular"/>
                <w:color w:val="000000"/>
              </w:rPr>
              <w:t>16</w:t>
            </w:r>
            <w:r w:rsidR="001038DE">
              <w:rPr>
                <w:rFonts w:cs="Bliss-Regular"/>
                <w:color w:val="000000"/>
              </w:rPr>
              <w:t>/02/2016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4E1" w:rsidRDefault="006F44E1" w:rsidP="00CB4D0A">
      <w:pPr>
        <w:spacing w:after="0" w:line="240" w:lineRule="auto"/>
      </w:pPr>
      <w:r>
        <w:separator/>
      </w:r>
    </w:p>
  </w:endnote>
  <w:endnote w:type="continuationSeparator" w:id="0">
    <w:p w:rsidR="006F44E1" w:rsidRDefault="006F44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4E1" w:rsidRDefault="006F44E1" w:rsidP="00CB4D0A">
      <w:pPr>
        <w:spacing w:after="0" w:line="240" w:lineRule="auto"/>
      </w:pPr>
      <w:r>
        <w:separator/>
      </w:r>
    </w:p>
  </w:footnote>
  <w:footnote w:type="continuationSeparator" w:id="0">
    <w:p w:rsidR="006F44E1" w:rsidRDefault="006F44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60C78"/>
    <w:multiLevelType w:val="hybridMultilevel"/>
    <w:tmpl w:val="18B063F2"/>
    <w:lvl w:ilvl="0" w:tplc="BEDC93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214707D"/>
    <w:multiLevelType w:val="hybridMultilevel"/>
    <w:tmpl w:val="FC3C269A"/>
    <w:lvl w:ilvl="0" w:tplc="BBFE991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1FD55AF"/>
    <w:multiLevelType w:val="hybridMultilevel"/>
    <w:tmpl w:val="AB08CCF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49283537"/>
    <w:multiLevelType w:val="hybridMultilevel"/>
    <w:tmpl w:val="5524BB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22DF2"/>
    <w:multiLevelType w:val="hybridMultilevel"/>
    <w:tmpl w:val="9E8E5886"/>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7559D3"/>
    <w:multiLevelType w:val="hybridMultilevel"/>
    <w:tmpl w:val="65CCBF4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6BDC303F"/>
    <w:multiLevelType w:val="hybridMultilevel"/>
    <w:tmpl w:val="C8B68688"/>
    <w:lvl w:ilvl="0" w:tplc="98BAC1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1"/>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38DE"/>
    <w:rsid w:val="001175EE"/>
    <w:rsid w:val="00157CF6"/>
    <w:rsid w:val="00182416"/>
    <w:rsid w:val="00187EB4"/>
    <w:rsid w:val="001F0481"/>
    <w:rsid w:val="00200C92"/>
    <w:rsid w:val="0020451E"/>
    <w:rsid w:val="00206B9D"/>
    <w:rsid w:val="0023259C"/>
    <w:rsid w:val="002B0BD7"/>
    <w:rsid w:val="002B573D"/>
    <w:rsid w:val="002C5CB2"/>
    <w:rsid w:val="002D7A5C"/>
    <w:rsid w:val="002F779F"/>
    <w:rsid w:val="00371885"/>
    <w:rsid w:val="003E2B87"/>
    <w:rsid w:val="004025D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4E1"/>
    <w:rsid w:val="0070347F"/>
    <w:rsid w:val="0070678E"/>
    <w:rsid w:val="00751F7E"/>
    <w:rsid w:val="0078250E"/>
    <w:rsid w:val="00831C11"/>
    <w:rsid w:val="008A60B4"/>
    <w:rsid w:val="008B3C31"/>
    <w:rsid w:val="008B64FE"/>
    <w:rsid w:val="00935BF7"/>
    <w:rsid w:val="0095442C"/>
    <w:rsid w:val="00983942"/>
    <w:rsid w:val="009A3C4E"/>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FC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30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BF2354-F061-42AE-8E1C-8164B671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4A05A-ADC9-4C1B-B8FA-6B0E0800D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ALOYO Jane</cp:lastModifiedBy>
  <cp:revision>3</cp:revision>
  <dcterms:created xsi:type="dcterms:W3CDTF">2016-02-16T11:43:00Z</dcterms:created>
  <dcterms:modified xsi:type="dcterms:W3CDTF">2016-02-16T11:43:00Z</dcterms:modified>
</cp:coreProperties>
</file>