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C5C"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sidRPr="003238A1">
              <w:rPr>
                <w:rFonts w:ascii="Arial" w:hAnsi="Arial" w:cs="Arial"/>
              </w:rPr>
              <w:t>Gemma Banham</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7447F1" w:rsidP="00F10B12">
            <w:pPr>
              <w:rPr>
                <w:rFonts w:ascii="Arial" w:hAnsi="Arial" w:cs="Arial"/>
                <w:sz w:val="24"/>
                <w:szCs w:val="24"/>
              </w:rPr>
            </w:pPr>
            <w:r>
              <w:rPr>
                <w:rFonts w:ascii="Arial" w:hAnsi="Arial" w:cs="Arial"/>
                <w:sz w:val="24"/>
                <w:szCs w:val="24"/>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3"/>
        <w:gridCol w:w="1247"/>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r>
              <w:rPr>
                <w:rFonts w:ascii="Arial" w:hAnsi="Arial" w:cs="Arial"/>
                <w:color w:val="000000"/>
                <w:sz w:val="24"/>
                <w:szCs w:val="24"/>
              </w:rPr>
              <w:t>Gemma Banham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47F1" w:rsidP="00A851DA">
            <w:pPr>
              <w:rPr>
                <w:rFonts w:cs="Bliss-Regular"/>
                <w:color w:val="000000"/>
              </w:rPr>
            </w:pPr>
            <w:r>
              <w:rPr>
                <w:rFonts w:ascii="Arial" w:hAnsi="Arial" w:cs="Arial"/>
                <w:color w:val="000000"/>
                <w:sz w:val="24"/>
                <w:szCs w:val="24"/>
              </w:rPr>
              <w:t>31</w:t>
            </w:r>
            <w:r w:rsidR="000A53B2">
              <w:rPr>
                <w:rFonts w:ascii="Arial" w:hAnsi="Arial" w:cs="Arial"/>
                <w:color w:val="000000"/>
                <w:sz w:val="24"/>
                <w:szCs w:val="24"/>
              </w:rPr>
              <w:t>/12</w:t>
            </w:r>
            <w:r w:rsidR="00F10B12">
              <w:rPr>
                <w:rFonts w:ascii="Arial" w:hAnsi="Arial" w:cs="Arial"/>
                <w:color w:val="000000"/>
                <w:sz w:val="24"/>
                <w:szCs w:val="24"/>
              </w:rPr>
              <w:t>/2015</w:t>
            </w:r>
          </w:p>
        </w:tc>
      </w:tr>
    </w:tbl>
    <w:p w:rsidR="00AF205E" w:rsidRDefault="00AF205E" w:rsidP="00AF205E">
      <w:pPr>
        <w:spacing w:line="360" w:lineRule="auto"/>
        <w:rPr>
          <w:rFonts w:cs="Bliss-Regular"/>
          <w:color w:val="000000"/>
          <w:lang w:val="en-US"/>
        </w:rPr>
      </w:pPr>
    </w:p>
    <w:p w:rsidR="007447F1" w:rsidRDefault="007447F1" w:rsidP="007447F1">
      <w:pPr>
        <w:spacing w:line="360" w:lineRule="auto"/>
        <w:rPr>
          <w:rFonts w:ascii="Arial" w:hAnsi="Arial" w:cs="Arial"/>
          <w:sz w:val="24"/>
          <w:szCs w:val="24"/>
        </w:rPr>
      </w:pPr>
      <w:r>
        <w:rPr>
          <w:rFonts w:ascii="Arial" w:hAnsi="Arial" w:cs="Arial"/>
          <w:sz w:val="24"/>
          <w:szCs w:val="24"/>
        </w:rPr>
        <w:lastRenderedPageBreak/>
        <w:t>Q1.</w:t>
      </w:r>
    </w:p>
    <w:p w:rsidR="007447F1" w:rsidRDefault="007447F1" w:rsidP="007447F1">
      <w:pPr>
        <w:pStyle w:val="ListParagraph"/>
        <w:numPr>
          <w:ilvl w:val="0"/>
          <w:numId w:val="15"/>
        </w:numPr>
        <w:spacing w:after="160" w:line="360" w:lineRule="auto"/>
        <w:rPr>
          <w:rFonts w:ascii="Arial" w:hAnsi="Arial" w:cs="Arial"/>
          <w:sz w:val="24"/>
          <w:szCs w:val="24"/>
        </w:rPr>
      </w:pPr>
      <w:r>
        <w:rPr>
          <w:rFonts w:ascii="Arial" w:hAnsi="Arial" w:cs="Arial"/>
          <w:sz w:val="24"/>
          <w:szCs w:val="24"/>
        </w:rPr>
        <w:t>Conducting interviews during a financial investigation allows for the collection of non-financial evidence and information. This can be used to compliment some of the other evidence collected and give context. An interview situation can also provide other non-financial information, such as body language, which can lead the interviewer to probe by asking questions they had not previously considered for a particular witness. This can then lead the investigation in a different direction to the one previously considered and planned. A key piece of evidence to collect during an investigation is a signed confession. The only way of obtaining this from a suspect is through an admission-seeking interview.</w:t>
      </w:r>
    </w:p>
    <w:p w:rsidR="007447F1" w:rsidRDefault="007447F1" w:rsidP="007447F1">
      <w:pPr>
        <w:pStyle w:val="ListParagraph"/>
        <w:numPr>
          <w:ilvl w:val="0"/>
          <w:numId w:val="15"/>
        </w:numPr>
        <w:spacing w:after="160" w:line="360" w:lineRule="auto"/>
        <w:rPr>
          <w:rFonts w:ascii="Arial" w:hAnsi="Arial" w:cs="Arial"/>
          <w:sz w:val="24"/>
          <w:szCs w:val="24"/>
        </w:rPr>
      </w:pPr>
      <w:r>
        <w:rPr>
          <w:rFonts w:ascii="Arial" w:hAnsi="Arial" w:cs="Arial"/>
          <w:sz w:val="24"/>
          <w:szCs w:val="24"/>
        </w:rPr>
        <w:t xml:space="preserve">The first stage in the interviewing planning process is determining who should be interviewed. In a standard investigation it would usually be quite obvious who should be interviewed but in a financial investigation the choice is not so clear. There are usually very few witnesses to financial crimes, mainly because the act of fraud is a very secretive crime. Some witnesses might not even work within the organisation but can still provide important evidence, such as bankers. Interviewers need to be creative and logical when determining who they should place on the list to interview. </w:t>
      </w:r>
    </w:p>
    <w:p w:rsidR="007447F1" w:rsidRDefault="007447F1" w:rsidP="007447F1">
      <w:pPr>
        <w:pStyle w:val="ListParagraph"/>
        <w:numPr>
          <w:ilvl w:val="0"/>
          <w:numId w:val="15"/>
        </w:numPr>
        <w:spacing w:after="160" w:line="360" w:lineRule="auto"/>
        <w:rPr>
          <w:rFonts w:ascii="Arial" w:hAnsi="Arial" w:cs="Arial"/>
          <w:sz w:val="24"/>
          <w:szCs w:val="24"/>
        </w:rPr>
      </w:pPr>
      <w:r>
        <w:rPr>
          <w:rFonts w:ascii="Arial" w:hAnsi="Arial" w:cs="Arial"/>
          <w:sz w:val="24"/>
          <w:szCs w:val="24"/>
        </w:rPr>
        <w:t>The type of interviewees that should be considered during a financial investigation include:</w:t>
      </w:r>
    </w:p>
    <w:p w:rsidR="007447F1" w:rsidRDefault="007447F1" w:rsidP="007447F1">
      <w:pPr>
        <w:pStyle w:val="ListParagraph"/>
        <w:numPr>
          <w:ilvl w:val="1"/>
          <w:numId w:val="15"/>
        </w:numPr>
        <w:spacing w:after="160" w:line="360" w:lineRule="auto"/>
        <w:rPr>
          <w:rFonts w:ascii="Arial" w:hAnsi="Arial" w:cs="Arial"/>
          <w:sz w:val="24"/>
          <w:szCs w:val="24"/>
        </w:rPr>
      </w:pPr>
      <w:r>
        <w:rPr>
          <w:rFonts w:ascii="Arial" w:hAnsi="Arial" w:cs="Arial"/>
          <w:sz w:val="24"/>
          <w:szCs w:val="24"/>
        </w:rPr>
        <w:t>The victim</w:t>
      </w:r>
    </w:p>
    <w:p w:rsidR="007447F1" w:rsidRDefault="007447F1" w:rsidP="007447F1">
      <w:pPr>
        <w:pStyle w:val="ListParagraph"/>
        <w:numPr>
          <w:ilvl w:val="1"/>
          <w:numId w:val="15"/>
        </w:numPr>
        <w:spacing w:after="160" w:line="360" w:lineRule="auto"/>
        <w:rPr>
          <w:rFonts w:ascii="Arial" w:hAnsi="Arial" w:cs="Arial"/>
          <w:sz w:val="24"/>
          <w:szCs w:val="24"/>
        </w:rPr>
      </w:pPr>
      <w:r>
        <w:rPr>
          <w:rFonts w:ascii="Arial" w:hAnsi="Arial" w:cs="Arial"/>
          <w:sz w:val="24"/>
          <w:szCs w:val="24"/>
        </w:rPr>
        <w:t>Co- workers, including sub-ordinates, managers and any ex-employees</w:t>
      </w:r>
    </w:p>
    <w:p w:rsidR="007447F1" w:rsidRDefault="007447F1" w:rsidP="007447F1">
      <w:pPr>
        <w:pStyle w:val="ListParagraph"/>
        <w:numPr>
          <w:ilvl w:val="1"/>
          <w:numId w:val="15"/>
        </w:numPr>
        <w:spacing w:after="160" w:line="360" w:lineRule="auto"/>
        <w:rPr>
          <w:rFonts w:ascii="Arial" w:hAnsi="Arial" w:cs="Arial"/>
          <w:sz w:val="24"/>
          <w:szCs w:val="24"/>
        </w:rPr>
      </w:pPr>
      <w:r>
        <w:rPr>
          <w:rFonts w:ascii="Arial" w:hAnsi="Arial" w:cs="Arial"/>
          <w:sz w:val="24"/>
          <w:szCs w:val="24"/>
        </w:rPr>
        <w:t>Spouses/exes, relatives and friends</w:t>
      </w:r>
    </w:p>
    <w:p w:rsidR="007447F1" w:rsidRDefault="007447F1" w:rsidP="007447F1">
      <w:pPr>
        <w:pStyle w:val="ListParagraph"/>
        <w:numPr>
          <w:ilvl w:val="1"/>
          <w:numId w:val="15"/>
        </w:numPr>
        <w:spacing w:after="160" w:line="360" w:lineRule="auto"/>
        <w:rPr>
          <w:rFonts w:ascii="Arial" w:hAnsi="Arial" w:cs="Arial"/>
          <w:sz w:val="24"/>
          <w:szCs w:val="24"/>
        </w:rPr>
      </w:pPr>
      <w:r>
        <w:rPr>
          <w:rFonts w:ascii="Arial" w:hAnsi="Arial" w:cs="Arial"/>
          <w:sz w:val="24"/>
          <w:szCs w:val="24"/>
        </w:rPr>
        <w:t>Customers, suppliers and vendors</w:t>
      </w:r>
    </w:p>
    <w:p w:rsidR="007447F1" w:rsidRDefault="007447F1" w:rsidP="007447F1">
      <w:pPr>
        <w:pStyle w:val="ListParagraph"/>
        <w:numPr>
          <w:ilvl w:val="1"/>
          <w:numId w:val="15"/>
        </w:numPr>
        <w:spacing w:after="160" w:line="360" w:lineRule="auto"/>
        <w:rPr>
          <w:rFonts w:ascii="Arial" w:hAnsi="Arial" w:cs="Arial"/>
          <w:sz w:val="24"/>
          <w:szCs w:val="24"/>
        </w:rPr>
      </w:pPr>
      <w:r>
        <w:rPr>
          <w:rFonts w:ascii="Arial" w:hAnsi="Arial" w:cs="Arial"/>
          <w:sz w:val="24"/>
          <w:szCs w:val="24"/>
        </w:rPr>
        <w:t>Accountants</w:t>
      </w:r>
    </w:p>
    <w:p w:rsidR="007447F1" w:rsidRDefault="007447F1" w:rsidP="007447F1">
      <w:pPr>
        <w:pStyle w:val="ListParagraph"/>
        <w:numPr>
          <w:ilvl w:val="1"/>
          <w:numId w:val="15"/>
        </w:numPr>
        <w:spacing w:after="160" w:line="360" w:lineRule="auto"/>
        <w:rPr>
          <w:rFonts w:ascii="Arial" w:hAnsi="Arial" w:cs="Arial"/>
          <w:sz w:val="24"/>
          <w:szCs w:val="24"/>
        </w:rPr>
      </w:pPr>
      <w:r>
        <w:rPr>
          <w:rFonts w:ascii="Arial" w:hAnsi="Arial" w:cs="Arial"/>
          <w:sz w:val="24"/>
          <w:szCs w:val="24"/>
        </w:rPr>
        <w:t>Bankers, stockbrokers, regulators (including SEC if required)</w:t>
      </w:r>
    </w:p>
    <w:p w:rsidR="007447F1" w:rsidRDefault="007447F1" w:rsidP="007447F1">
      <w:pPr>
        <w:pStyle w:val="ListParagraph"/>
        <w:numPr>
          <w:ilvl w:val="1"/>
          <w:numId w:val="15"/>
        </w:numPr>
        <w:spacing w:after="160" w:line="360" w:lineRule="auto"/>
        <w:rPr>
          <w:rFonts w:ascii="Arial" w:hAnsi="Arial" w:cs="Arial"/>
          <w:sz w:val="24"/>
          <w:szCs w:val="24"/>
        </w:rPr>
      </w:pPr>
      <w:r>
        <w:rPr>
          <w:rFonts w:ascii="Arial" w:hAnsi="Arial" w:cs="Arial"/>
          <w:sz w:val="24"/>
          <w:szCs w:val="24"/>
        </w:rPr>
        <w:t>Industry group representatives</w:t>
      </w:r>
    </w:p>
    <w:p w:rsidR="007447F1" w:rsidRPr="00E70A95" w:rsidRDefault="007447F1" w:rsidP="007447F1">
      <w:pPr>
        <w:pStyle w:val="ListParagraph"/>
        <w:numPr>
          <w:ilvl w:val="1"/>
          <w:numId w:val="15"/>
        </w:numPr>
        <w:spacing w:after="160" w:line="360" w:lineRule="auto"/>
        <w:rPr>
          <w:rFonts w:ascii="Arial" w:hAnsi="Arial" w:cs="Arial"/>
          <w:sz w:val="24"/>
          <w:szCs w:val="24"/>
        </w:rPr>
      </w:pPr>
      <w:r>
        <w:rPr>
          <w:rFonts w:ascii="Arial" w:hAnsi="Arial" w:cs="Arial"/>
          <w:sz w:val="24"/>
          <w:szCs w:val="24"/>
        </w:rPr>
        <w:t>Competitors</w:t>
      </w:r>
    </w:p>
    <w:p w:rsidR="007447F1" w:rsidRDefault="007447F1" w:rsidP="007447F1">
      <w:pPr>
        <w:pStyle w:val="ListParagraph"/>
        <w:numPr>
          <w:ilvl w:val="0"/>
          <w:numId w:val="15"/>
        </w:numPr>
        <w:spacing w:after="160" w:line="360" w:lineRule="auto"/>
        <w:rPr>
          <w:rFonts w:ascii="Arial" w:hAnsi="Arial" w:cs="Arial"/>
          <w:sz w:val="24"/>
          <w:szCs w:val="24"/>
        </w:rPr>
      </w:pPr>
      <w:r>
        <w:rPr>
          <w:rFonts w:ascii="Arial" w:hAnsi="Arial" w:cs="Arial"/>
          <w:sz w:val="24"/>
          <w:szCs w:val="24"/>
        </w:rPr>
        <w:t xml:space="preserve">It is important to record any interviews to obtain a full and complete record of the interview details. Video recording is preferred to audio recordings because it captures all gestures and facial expressions in addition to the exact words spoken. A video recording can be used to protect the interviewer against any </w:t>
      </w:r>
      <w:r>
        <w:rPr>
          <w:rFonts w:ascii="Arial" w:hAnsi="Arial" w:cs="Arial"/>
          <w:sz w:val="24"/>
          <w:szCs w:val="24"/>
        </w:rPr>
        <w:lastRenderedPageBreak/>
        <w:t xml:space="preserve">accusations made by the interviewee since without the recording there is no witness to the conversation. The recording provides the evidence that there was no threating behaviour or intimidation if any accusation was made. Similarly, the recording will protect the witness by ensuring that their words cannot be twisted and taken out of context.  </w:t>
      </w:r>
    </w:p>
    <w:p w:rsidR="007447F1" w:rsidRDefault="007447F1" w:rsidP="007447F1">
      <w:pPr>
        <w:pStyle w:val="ListParagraph"/>
        <w:numPr>
          <w:ilvl w:val="0"/>
          <w:numId w:val="15"/>
        </w:numPr>
        <w:spacing w:after="160" w:line="360" w:lineRule="auto"/>
        <w:rPr>
          <w:rFonts w:ascii="Arial" w:hAnsi="Arial" w:cs="Arial"/>
          <w:sz w:val="24"/>
          <w:szCs w:val="24"/>
        </w:rPr>
      </w:pPr>
      <w:r>
        <w:rPr>
          <w:rFonts w:ascii="Arial" w:hAnsi="Arial" w:cs="Arial"/>
          <w:sz w:val="24"/>
          <w:szCs w:val="24"/>
        </w:rPr>
        <w:t xml:space="preserve">The decision of where to conduct an interview must be made very carefully by the investigator. Each venue will have a list of pros and cons. Depending on who is being interviewed the location of the interview will be determined. If the interview is with a witness or the victim it is most likely that a comfortable location, possibly the individual’s home, will be used for the interview. This will help to put them at ease and should enhance the recollection of the information to be provided during the interview. Suspects are likely to also request an interview on ‘their own turf’, but it is best for the investigator to strategically arrange the interview somewhere to put the suspect in an uncomfortable environment, such as the attorney’s office, for the interview. This is a psychological game to put pressure on the suspect.  </w:t>
      </w:r>
    </w:p>
    <w:p w:rsidR="007447F1" w:rsidRDefault="007447F1" w:rsidP="007447F1">
      <w:pPr>
        <w:spacing w:line="360" w:lineRule="auto"/>
        <w:rPr>
          <w:rFonts w:ascii="Arial" w:hAnsi="Arial" w:cs="Arial"/>
          <w:sz w:val="24"/>
          <w:szCs w:val="24"/>
        </w:rPr>
      </w:pPr>
    </w:p>
    <w:p w:rsidR="007447F1" w:rsidRDefault="007447F1" w:rsidP="007447F1">
      <w:pPr>
        <w:spacing w:line="360" w:lineRule="auto"/>
        <w:ind w:left="720" w:hanging="720"/>
        <w:rPr>
          <w:rFonts w:ascii="Arial" w:hAnsi="Arial" w:cs="Arial"/>
          <w:sz w:val="24"/>
          <w:szCs w:val="24"/>
        </w:rPr>
      </w:pPr>
      <w:r>
        <w:rPr>
          <w:rFonts w:ascii="Arial" w:hAnsi="Arial" w:cs="Arial"/>
          <w:sz w:val="24"/>
          <w:szCs w:val="24"/>
        </w:rPr>
        <w:t>Q2.</w:t>
      </w:r>
      <w:r>
        <w:rPr>
          <w:rFonts w:ascii="Arial" w:hAnsi="Arial" w:cs="Arial"/>
          <w:sz w:val="24"/>
          <w:szCs w:val="24"/>
        </w:rPr>
        <w:tab/>
        <w:t>There are many stages in the interview planning procedure, firstly the investigator must determine who to interview. There are likely to be fewer eyewitnesses than for a non-financial investigation due to the secretive nature of fraud as a crime. In addition, successful fraudsters pretend they are carrying out standard routine activities when they are committing fraud, therefore a witness is unlikely to realise they have witnessed a crime. However, people external to the business can also be considered for interview, such as accountants, bankers, spouses and friends. An investigator must be creative and logical when deciding who to interview.</w:t>
      </w:r>
    </w:p>
    <w:p w:rsidR="007447F1" w:rsidRDefault="007447F1" w:rsidP="007447F1">
      <w:pPr>
        <w:spacing w:line="360" w:lineRule="auto"/>
        <w:ind w:left="720" w:hanging="720"/>
        <w:rPr>
          <w:rFonts w:ascii="Arial" w:hAnsi="Arial" w:cs="Arial"/>
          <w:sz w:val="24"/>
          <w:szCs w:val="24"/>
        </w:rPr>
      </w:pPr>
      <w:r>
        <w:rPr>
          <w:rFonts w:ascii="Arial" w:hAnsi="Arial" w:cs="Arial"/>
          <w:sz w:val="24"/>
          <w:szCs w:val="24"/>
        </w:rPr>
        <w:tab/>
        <w:t xml:space="preserve">Next an investigator will consider what to ask in the interviews. Pre-planning what to ask during an interview can be helpful and it should be carefully considered what information an individual might be able to provide. Witnesses outside of the business should not be discounted as they might be able to provide key evidence. For example, a banker might have knowledge of where funds are being transferred without realising it is evidence of fraud. It is </w:t>
      </w:r>
      <w:r>
        <w:rPr>
          <w:rFonts w:ascii="Arial" w:hAnsi="Arial" w:cs="Arial"/>
          <w:sz w:val="24"/>
          <w:szCs w:val="24"/>
        </w:rPr>
        <w:lastRenderedPageBreak/>
        <w:t>possible that other similar witnesses might be able to provide information to help track sources and expenditures of funds, also possibly the motive for theft.</w:t>
      </w:r>
    </w:p>
    <w:p w:rsidR="007447F1" w:rsidRDefault="007447F1" w:rsidP="007447F1">
      <w:pPr>
        <w:spacing w:line="360" w:lineRule="auto"/>
        <w:ind w:left="720" w:hanging="720"/>
        <w:rPr>
          <w:rFonts w:ascii="Arial" w:hAnsi="Arial" w:cs="Arial"/>
          <w:sz w:val="24"/>
          <w:szCs w:val="24"/>
        </w:rPr>
      </w:pPr>
      <w:r>
        <w:rPr>
          <w:rFonts w:ascii="Arial" w:hAnsi="Arial" w:cs="Arial"/>
          <w:sz w:val="24"/>
          <w:szCs w:val="24"/>
        </w:rPr>
        <w:tab/>
        <w:t>It then must be determined why an individual is to be interviewed. Once it is established what information the interviewee might know then the importance of interviewing them can be explained. At this point it can be decided when to conduct the interview. This could be during the intelligence gathering phase of the investigation to help provide background information, others are more likely to be able to provide finer details and should be interviewed later in the investigation.</w:t>
      </w:r>
      <w:r>
        <w:rPr>
          <w:rFonts w:ascii="Arial" w:hAnsi="Arial" w:cs="Arial"/>
          <w:sz w:val="24"/>
          <w:szCs w:val="24"/>
        </w:rPr>
        <w:tab/>
        <w:t>It should also be considered what time of day to conduct the interview. It will be easier to find a convenient time to interview some interviewees than others. It is the investigators responsibility to choose the least busy part of an individual’s day for interviewing so that a friendly and relaxed atmosphere can be created.</w:t>
      </w:r>
    </w:p>
    <w:p w:rsidR="007447F1" w:rsidRDefault="007447F1" w:rsidP="007447F1">
      <w:pPr>
        <w:spacing w:line="360" w:lineRule="auto"/>
        <w:ind w:left="720" w:hanging="720"/>
        <w:rPr>
          <w:rFonts w:ascii="Arial" w:hAnsi="Arial" w:cs="Arial"/>
          <w:sz w:val="24"/>
          <w:szCs w:val="24"/>
        </w:rPr>
      </w:pPr>
      <w:r>
        <w:rPr>
          <w:rFonts w:ascii="Arial" w:hAnsi="Arial" w:cs="Arial"/>
          <w:sz w:val="24"/>
          <w:szCs w:val="24"/>
        </w:rPr>
        <w:tab/>
        <w:t>The next step in the interview planning procedure is to determine where the interview should take place. Depending on the interviewee it will be decided if a comfortable environment is best to put witnesses at ease or if a more uncomfortable environment might be best, such as for the suspect, as an attempt to put them ‘off their game’ from the start of the interview. It is usual for an investigator to manipulate the psychological pressure on a suspect and use it obtain the least resistance to providing a confession.</w:t>
      </w:r>
    </w:p>
    <w:p w:rsidR="007447F1" w:rsidRPr="00F87331" w:rsidRDefault="007447F1" w:rsidP="007447F1">
      <w:pPr>
        <w:spacing w:line="360" w:lineRule="auto"/>
        <w:ind w:left="720" w:hanging="720"/>
        <w:rPr>
          <w:rFonts w:ascii="Arial" w:hAnsi="Arial" w:cs="Arial"/>
          <w:sz w:val="24"/>
          <w:szCs w:val="24"/>
        </w:rPr>
      </w:pPr>
      <w:r>
        <w:rPr>
          <w:rFonts w:ascii="Arial" w:hAnsi="Arial" w:cs="Arial"/>
          <w:sz w:val="24"/>
          <w:szCs w:val="24"/>
        </w:rPr>
        <w:tab/>
        <w:t xml:space="preserve">The interviewer finally needs to decide how to perform the interview. This includes video-taping or audio-taping the interview. A video recording of an interview will provide protection to both the investigator and the witness. The tone of the interview is another point to consider. Interviews with witnesses are very different to those with suspects. The amount of psychological pressure and tone of the interview will differ depending on who is being interviewed.   </w:t>
      </w:r>
    </w:p>
    <w:p w:rsidR="007447F1" w:rsidRDefault="007447F1" w:rsidP="007447F1">
      <w:pPr>
        <w:spacing w:line="360" w:lineRule="auto"/>
        <w:rPr>
          <w:rFonts w:ascii="Arial" w:hAnsi="Arial" w:cs="Arial"/>
          <w:sz w:val="24"/>
          <w:szCs w:val="24"/>
        </w:rPr>
      </w:pPr>
    </w:p>
    <w:p w:rsidR="007447F1" w:rsidRDefault="007447F1" w:rsidP="007447F1">
      <w:pPr>
        <w:spacing w:line="360" w:lineRule="auto"/>
        <w:ind w:left="720" w:hanging="720"/>
        <w:rPr>
          <w:rFonts w:ascii="Arial" w:hAnsi="Arial" w:cs="Arial"/>
          <w:sz w:val="24"/>
          <w:szCs w:val="24"/>
        </w:rPr>
      </w:pPr>
      <w:r>
        <w:rPr>
          <w:rFonts w:ascii="Arial" w:hAnsi="Arial" w:cs="Arial"/>
          <w:sz w:val="24"/>
          <w:szCs w:val="24"/>
        </w:rPr>
        <w:t>Q3.</w:t>
      </w:r>
      <w:r>
        <w:rPr>
          <w:rFonts w:ascii="Arial" w:hAnsi="Arial" w:cs="Arial"/>
          <w:sz w:val="24"/>
          <w:szCs w:val="24"/>
        </w:rPr>
        <w:tab/>
        <w:t xml:space="preserve">The cognitive interview is a method of interviewing individuals about what they remember, usually from a crime scene. The primary focus of the cognitive </w:t>
      </w:r>
      <w:r>
        <w:rPr>
          <w:rFonts w:ascii="Arial" w:hAnsi="Arial" w:cs="Arial"/>
          <w:sz w:val="24"/>
          <w:szCs w:val="24"/>
        </w:rPr>
        <w:lastRenderedPageBreak/>
        <w:t>interview is to make witnesses and victims aware of all the events that transpired. The strategies underlying cognitive interview are based on certain theories and hypotheses. The first hypothesis is that remembered information is stored in discrete units that contain information relevant to the observed event. These units have headings and the matching record can be found through descriptions. This can include the recreation of the environment the event took place in. The second hypothesis states that our memories are made up of networks of association rather than discrete units. Therefore it is considered possible to use different methods to access memories, such as recalling an event backwards. The third model is the schema theory. According to this theory a script guides the encoding of familiar events in our brains. New events are recorded using the assigned slots based on familiar slots already scripted in the brain.</w:t>
      </w:r>
    </w:p>
    <w:p w:rsidR="007447F1" w:rsidRDefault="007447F1" w:rsidP="007447F1">
      <w:pPr>
        <w:spacing w:line="360" w:lineRule="auto"/>
        <w:ind w:left="720" w:hanging="720"/>
        <w:rPr>
          <w:rFonts w:ascii="Arial" w:hAnsi="Arial" w:cs="Arial"/>
          <w:sz w:val="24"/>
          <w:szCs w:val="24"/>
        </w:rPr>
      </w:pPr>
      <w:r>
        <w:rPr>
          <w:rFonts w:ascii="Arial" w:hAnsi="Arial" w:cs="Arial"/>
          <w:sz w:val="24"/>
          <w:szCs w:val="24"/>
        </w:rPr>
        <w:tab/>
        <w:t xml:space="preserve">Cognitive interviewing techniques are a systemized approach to help retrieve memories and enhance an individual’s ability to recall exact information. Conducting a cognitive interview is a multiphase approach using different techniques. Phase one involves transferring emotional control to the witness. They are encouraged to do most of the talking and set the pace of the interview, this can be achieved with open ended questions. Phase two involves basic questions about the witness’s recollection of the event. They will be encouraged to re-tell the event in their own words. Phase three is where the interviewer attempts to redirect the witness to try to retrieve additional information that they couldn’t recall before. </w:t>
      </w:r>
    </w:p>
    <w:p w:rsidR="007447F1" w:rsidRPr="00276026" w:rsidRDefault="007447F1" w:rsidP="007447F1">
      <w:pPr>
        <w:spacing w:line="360" w:lineRule="auto"/>
        <w:ind w:left="720" w:hanging="720"/>
        <w:rPr>
          <w:rFonts w:ascii="Arial" w:hAnsi="Arial" w:cs="Arial"/>
          <w:sz w:val="24"/>
          <w:szCs w:val="24"/>
        </w:rPr>
      </w:pPr>
      <w:r>
        <w:rPr>
          <w:rFonts w:ascii="Arial" w:hAnsi="Arial" w:cs="Arial"/>
          <w:sz w:val="24"/>
          <w:szCs w:val="24"/>
        </w:rPr>
        <w:tab/>
        <w:t xml:space="preserve">During these three phases the interviewer should use cognitive techniques to enable the witness to recall the relevant information. The interviewer will encourage the witness to recreate the event visually which can help to recall additional details. The interviewer might then ask about specific details of the scene including questions regarding the people there, the description of the room, the physical sensations felt by the witness at the time. This may then trigger more images of the event being remembered. It is important to discuss all aspects at this point, even if they are deemed irrelevant, as they may lead to additional details being recalled.    </w:t>
      </w:r>
      <w:r>
        <w:rPr>
          <w:rFonts w:ascii="Arial" w:hAnsi="Arial" w:cs="Arial"/>
          <w:sz w:val="24"/>
          <w:szCs w:val="24"/>
        </w:rPr>
        <w:tab/>
        <w:t xml:space="preserve"> </w:t>
      </w: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F72" w:rsidRDefault="00004F72" w:rsidP="00CB4D0A">
      <w:pPr>
        <w:spacing w:after="0" w:line="240" w:lineRule="auto"/>
      </w:pPr>
      <w:r>
        <w:separator/>
      </w:r>
    </w:p>
  </w:endnote>
  <w:endnote w:type="continuationSeparator" w:id="0">
    <w:p w:rsidR="00004F72" w:rsidRDefault="00004F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F72" w:rsidRDefault="00004F72" w:rsidP="00CB4D0A">
      <w:pPr>
        <w:spacing w:after="0" w:line="240" w:lineRule="auto"/>
      </w:pPr>
      <w:r>
        <w:separator/>
      </w:r>
    </w:p>
  </w:footnote>
  <w:footnote w:type="continuationSeparator" w:id="0">
    <w:p w:rsidR="00004F72" w:rsidRDefault="00004F7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69DC"/>
    <w:multiLevelType w:val="hybridMultilevel"/>
    <w:tmpl w:val="CE564B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8B6E16"/>
    <w:multiLevelType w:val="hybridMultilevel"/>
    <w:tmpl w:val="D194C48E"/>
    <w:lvl w:ilvl="0" w:tplc="CE86633A">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F5F2F7D"/>
    <w:multiLevelType w:val="hybridMultilevel"/>
    <w:tmpl w:val="1A1892E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9794507"/>
    <w:multiLevelType w:val="hybridMultilevel"/>
    <w:tmpl w:val="8E6A11FE"/>
    <w:lvl w:ilvl="0" w:tplc="2B50FEA4">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3BE74A34"/>
    <w:multiLevelType w:val="hybridMultilevel"/>
    <w:tmpl w:val="6410368E"/>
    <w:lvl w:ilvl="0" w:tplc="40184670">
      <w:start w:val="1"/>
      <w:numFmt w:val="lowerRoman"/>
      <w:lvlText w:val="%1."/>
      <w:lvlJc w:val="left"/>
      <w:pPr>
        <w:ind w:left="720" w:hanging="720"/>
      </w:pPr>
      <w:rPr>
        <w:rFonts w:hint="default"/>
      </w:rPr>
    </w:lvl>
    <w:lvl w:ilvl="1" w:tplc="0C090005">
      <w:start w:val="1"/>
      <w:numFmt w:val="bullet"/>
      <w:lvlText w:val=""/>
      <w:lvlJc w:val="left"/>
      <w:pPr>
        <w:ind w:left="1080" w:hanging="360"/>
      </w:pPr>
      <w:rPr>
        <w:rFonts w:ascii="Wingdings" w:hAnsi="Wingding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1E11E89"/>
    <w:multiLevelType w:val="hybridMultilevel"/>
    <w:tmpl w:val="2EE2F352"/>
    <w:lvl w:ilvl="0" w:tplc="D456A194">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42EC2879"/>
    <w:multiLevelType w:val="hybridMultilevel"/>
    <w:tmpl w:val="6AC0E87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9F40FC"/>
    <w:multiLevelType w:val="hybridMultilevel"/>
    <w:tmpl w:val="EA8E1192"/>
    <w:lvl w:ilvl="0" w:tplc="5DCA7FFC">
      <w:start w:val="1"/>
      <w:numFmt w:val="lowerRoman"/>
      <w:lvlText w:val="%1."/>
      <w:lvlJc w:val="left"/>
      <w:pPr>
        <w:ind w:left="720" w:hanging="720"/>
      </w:pPr>
      <w:rPr>
        <w:rFonts w:ascii="Arial" w:eastAsiaTheme="minorHAnsi" w:hAnsi="Arial" w:cs="Arial"/>
        <w:i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9" w15:restartNumberingAfterBreak="0">
    <w:nsid w:val="510E48A0"/>
    <w:multiLevelType w:val="hybridMultilevel"/>
    <w:tmpl w:val="FC561C6A"/>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0" w15:restartNumberingAfterBreak="0">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EFE538B"/>
    <w:multiLevelType w:val="hybridMultilevel"/>
    <w:tmpl w:val="B90CA24E"/>
    <w:lvl w:ilvl="0" w:tplc="B0925CF0">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741B781C"/>
    <w:multiLevelType w:val="hybridMultilevel"/>
    <w:tmpl w:val="08ACF344"/>
    <w:lvl w:ilvl="0" w:tplc="1144E0A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75FF1771"/>
    <w:multiLevelType w:val="hybridMultilevel"/>
    <w:tmpl w:val="1A1C1F10"/>
    <w:lvl w:ilvl="0" w:tplc="340AC4BC">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7AB82D85"/>
    <w:multiLevelType w:val="hybridMultilevel"/>
    <w:tmpl w:val="876A5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10"/>
  </w:num>
  <w:num w:numId="3">
    <w:abstractNumId w:val="5"/>
  </w:num>
  <w:num w:numId="4">
    <w:abstractNumId w:val="14"/>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
  </w:num>
  <w:num w:numId="9">
    <w:abstractNumId w:val="12"/>
  </w:num>
  <w:num w:numId="10">
    <w:abstractNumId w:val="6"/>
  </w:num>
  <w:num w:numId="11">
    <w:abstractNumId w:val="0"/>
  </w:num>
  <w:num w:numId="12">
    <w:abstractNumId w:val="11"/>
  </w:num>
  <w:num w:numId="13">
    <w:abstractNumId w:val="4"/>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F72"/>
    <w:rsid w:val="000158F9"/>
    <w:rsid w:val="00035CDD"/>
    <w:rsid w:val="00040083"/>
    <w:rsid w:val="00055992"/>
    <w:rsid w:val="000820E8"/>
    <w:rsid w:val="000A53B2"/>
    <w:rsid w:val="000B62F5"/>
    <w:rsid w:val="001175EE"/>
    <w:rsid w:val="00157CF6"/>
    <w:rsid w:val="00182416"/>
    <w:rsid w:val="00187EB4"/>
    <w:rsid w:val="001F0481"/>
    <w:rsid w:val="00200C92"/>
    <w:rsid w:val="0020451E"/>
    <w:rsid w:val="00206B9D"/>
    <w:rsid w:val="0023259C"/>
    <w:rsid w:val="00243A78"/>
    <w:rsid w:val="00276F03"/>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03DE"/>
    <w:rsid w:val="006823A7"/>
    <w:rsid w:val="00687EE8"/>
    <w:rsid w:val="006E3198"/>
    <w:rsid w:val="0070347F"/>
    <w:rsid w:val="0070678E"/>
    <w:rsid w:val="007447F1"/>
    <w:rsid w:val="00831C11"/>
    <w:rsid w:val="008A60B4"/>
    <w:rsid w:val="008B03F1"/>
    <w:rsid w:val="008B3C31"/>
    <w:rsid w:val="008B64FE"/>
    <w:rsid w:val="008D28A4"/>
    <w:rsid w:val="00935BF7"/>
    <w:rsid w:val="00943A10"/>
    <w:rsid w:val="0095442C"/>
    <w:rsid w:val="00983942"/>
    <w:rsid w:val="009C37E0"/>
    <w:rsid w:val="009D7C5C"/>
    <w:rsid w:val="009E41F4"/>
    <w:rsid w:val="00A14B66"/>
    <w:rsid w:val="00A65CF7"/>
    <w:rsid w:val="00A81AB4"/>
    <w:rsid w:val="00A851DA"/>
    <w:rsid w:val="00A97AB6"/>
    <w:rsid w:val="00AC7D5B"/>
    <w:rsid w:val="00AE1481"/>
    <w:rsid w:val="00AF205E"/>
    <w:rsid w:val="00B0415E"/>
    <w:rsid w:val="00B04678"/>
    <w:rsid w:val="00B145F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5FCD"/>
    <w:rsid w:val="00DB0793"/>
    <w:rsid w:val="00E00821"/>
    <w:rsid w:val="00E04DB4"/>
    <w:rsid w:val="00E30679"/>
    <w:rsid w:val="00E4597D"/>
    <w:rsid w:val="00E54832"/>
    <w:rsid w:val="00E56A90"/>
    <w:rsid w:val="00E641CC"/>
    <w:rsid w:val="00E90294"/>
    <w:rsid w:val="00EA30AB"/>
    <w:rsid w:val="00EB3925"/>
    <w:rsid w:val="00F10B1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FB826-236F-4A97-841D-20BAC11D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2524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8F77A-0E2A-4176-A099-BF0786803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 Banham</cp:lastModifiedBy>
  <cp:revision>7</cp:revision>
  <dcterms:created xsi:type="dcterms:W3CDTF">2015-12-15T19:52:00Z</dcterms:created>
  <dcterms:modified xsi:type="dcterms:W3CDTF">2015-12-31T13:39:00Z</dcterms:modified>
</cp:coreProperties>
</file>