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7D5C">
            <w:r>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5A7D5C" w:rsidRPr="00EB3D22" w:rsidRDefault="005A7D5C" w:rsidP="005A7D5C">
            <w:pPr>
              <w:spacing w:line="360" w:lineRule="auto"/>
              <w:rPr>
                <w:rFonts w:ascii="Times New Roman" w:hAnsi="Times New Roman" w:cs="Times New Roman"/>
                <w:b/>
                <w:bCs/>
                <w:sz w:val="28"/>
                <w:szCs w:val="44"/>
              </w:rPr>
            </w:pPr>
            <w:r>
              <w:rPr>
                <w:rFonts w:ascii="Times New Roman" w:hAnsi="Times New Roman" w:cs="Times New Roman"/>
                <w:b/>
                <w:bCs/>
                <w:sz w:val="28"/>
                <w:szCs w:val="44"/>
              </w:rPr>
              <w:t>Assessment 7</w:t>
            </w:r>
            <w:r w:rsidRPr="00EB3D22">
              <w:rPr>
                <w:rFonts w:ascii="Times New Roman" w:hAnsi="Times New Roman" w:cs="Times New Roman"/>
                <w:b/>
                <w:bCs/>
                <w:sz w:val="28"/>
                <w:szCs w:val="44"/>
              </w:rPr>
              <w:t xml:space="preserve">: </w:t>
            </w:r>
            <w:r>
              <w:rPr>
                <w:rFonts w:ascii="Times New Roman" w:hAnsi="Times New Roman" w:cs="Times New Roman"/>
                <w:b/>
                <w:bCs/>
                <w:sz w:val="28"/>
                <w:szCs w:val="44"/>
              </w:rPr>
              <w:t xml:space="preserve">Obtaining and Evaluating Non-financial Evidence </w:t>
            </w:r>
          </w:p>
          <w:p w:rsidR="005A7D5C" w:rsidRPr="008C68CA" w:rsidRDefault="005A7D5C" w:rsidP="005A7D5C">
            <w:pPr>
              <w:spacing w:line="360" w:lineRule="auto"/>
              <w:rPr>
                <w:rFonts w:ascii="Times New Roman" w:hAnsi="Times New Roman" w:cs="Times New Roman"/>
                <w:sz w:val="24"/>
                <w:szCs w:val="40"/>
              </w:rPr>
            </w:pPr>
            <w:r w:rsidRPr="008C68CA">
              <w:rPr>
                <w:rFonts w:ascii="Times New Roman" w:hAnsi="Times New Roman" w:cs="Times New Roman"/>
                <w:sz w:val="24"/>
                <w:szCs w:val="40"/>
              </w:rPr>
              <w:t xml:space="preserve">1.  Give short answers for the following questions:         </w:t>
            </w:r>
          </w:p>
          <w:p w:rsidR="005A7D5C" w:rsidRDefault="005A7D5C" w:rsidP="005A7D5C">
            <w:pPr>
              <w:spacing w:line="360" w:lineRule="auto"/>
              <w:rPr>
                <w:rFonts w:ascii="Times New Roman" w:hAnsi="Times New Roman" w:cs="Times New Roman"/>
                <w:sz w:val="24"/>
                <w:szCs w:val="40"/>
              </w:rPr>
            </w:pPr>
            <w:r>
              <w:rPr>
                <w:rFonts w:ascii="Times New Roman" w:hAnsi="Times New Roman" w:cs="Times New Roman"/>
                <w:sz w:val="24"/>
                <w:szCs w:val="40"/>
              </w:rPr>
              <w:t xml:space="preserve">I. </w:t>
            </w:r>
            <w:r w:rsidRPr="008C68CA">
              <w:rPr>
                <w:rFonts w:ascii="Times New Roman" w:hAnsi="Times New Roman" w:cs="Times New Roman"/>
                <w:sz w:val="24"/>
                <w:szCs w:val="40"/>
              </w:rPr>
              <w:t>What are the non- financial sources for the evidence?</w:t>
            </w:r>
          </w:p>
          <w:p w:rsidR="005A7D5C" w:rsidRDefault="005A7D5C" w:rsidP="005A7D5C">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Evidence which its source is non-financial can be from video camera, any forms of recording, emails, interview, </w:t>
            </w:r>
            <w:r w:rsidRPr="00555874">
              <w:rPr>
                <w:rFonts w:ascii="Times New Roman" w:hAnsi="Times New Roman" w:cs="Times New Roman"/>
                <w:sz w:val="24"/>
                <w:szCs w:val="40"/>
              </w:rPr>
              <w:t xml:space="preserve">handwriting analysis and </w:t>
            </w:r>
            <w:r>
              <w:rPr>
                <w:rFonts w:ascii="Times New Roman" w:hAnsi="Times New Roman" w:cs="Times New Roman"/>
                <w:sz w:val="24"/>
                <w:szCs w:val="40"/>
              </w:rPr>
              <w:t>other documents e</w:t>
            </w:r>
            <w:r w:rsidRPr="00555874">
              <w:rPr>
                <w:rFonts w:ascii="Times New Roman" w:hAnsi="Times New Roman" w:cs="Times New Roman"/>
                <w:sz w:val="24"/>
                <w:szCs w:val="40"/>
              </w:rPr>
              <w:t xml:space="preserve">xamination </w:t>
            </w:r>
            <w:r>
              <w:rPr>
                <w:rFonts w:ascii="Times New Roman" w:hAnsi="Times New Roman" w:cs="Times New Roman"/>
                <w:sz w:val="24"/>
                <w:szCs w:val="40"/>
              </w:rPr>
              <w:t>regarding to</w:t>
            </w:r>
            <w:r w:rsidRPr="00555874">
              <w:rPr>
                <w:rFonts w:ascii="Times New Roman" w:hAnsi="Times New Roman" w:cs="Times New Roman"/>
                <w:sz w:val="24"/>
                <w:szCs w:val="40"/>
              </w:rPr>
              <w:t xml:space="preserve"> the physiological traits of the</w:t>
            </w:r>
            <w:r>
              <w:rPr>
                <w:rFonts w:ascii="Times New Roman" w:hAnsi="Times New Roman" w:cs="Times New Roman"/>
                <w:sz w:val="24"/>
                <w:szCs w:val="40"/>
              </w:rPr>
              <w:t xml:space="preserve"> potential</w:t>
            </w:r>
            <w:r w:rsidRPr="00555874">
              <w:rPr>
                <w:rFonts w:ascii="Times New Roman" w:hAnsi="Times New Roman" w:cs="Times New Roman"/>
                <w:sz w:val="24"/>
                <w:szCs w:val="40"/>
              </w:rPr>
              <w:t xml:space="preserve"> fraudster.</w:t>
            </w:r>
            <w:r>
              <w:rPr>
                <w:rFonts w:ascii="Times New Roman" w:hAnsi="Times New Roman" w:cs="Times New Roman"/>
                <w:sz w:val="24"/>
                <w:szCs w:val="40"/>
              </w:rPr>
              <w:t xml:space="preserve"> It does not deal with financial supporting documents such as receipts, invoice, slips, journal vouchers, or other types of financial statements. The notice or observation on the fraudster’s reaction (physical traits) such as </w:t>
            </w:r>
            <w:r w:rsidRPr="00111E1D">
              <w:rPr>
                <w:rFonts w:ascii="Times New Roman" w:hAnsi="Times New Roman" w:cs="Times New Roman"/>
                <w:sz w:val="24"/>
                <w:szCs w:val="40"/>
              </w:rPr>
              <w:t xml:space="preserve">behavior, expressions, or </w:t>
            </w:r>
            <w:r>
              <w:rPr>
                <w:rFonts w:ascii="Times New Roman" w:hAnsi="Times New Roman" w:cs="Times New Roman"/>
                <w:sz w:val="24"/>
                <w:szCs w:val="40"/>
              </w:rPr>
              <w:t>manner of</w:t>
            </w:r>
            <w:r w:rsidRPr="00111E1D">
              <w:rPr>
                <w:rFonts w:ascii="Times New Roman" w:hAnsi="Times New Roman" w:cs="Times New Roman"/>
                <w:sz w:val="24"/>
                <w:szCs w:val="40"/>
              </w:rPr>
              <w:t xml:space="preserve"> communication </w:t>
            </w:r>
            <w:r>
              <w:rPr>
                <w:rFonts w:ascii="Times New Roman" w:hAnsi="Times New Roman" w:cs="Times New Roman"/>
                <w:sz w:val="24"/>
                <w:szCs w:val="40"/>
              </w:rPr>
              <w:t>will help</w:t>
            </w:r>
            <w:r w:rsidRPr="00111E1D">
              <w:rPr>
                <w:rFonts w:ascii="Times New Roman" w:hAnsi="Times New Roman" w:cs="Times New Roman"/>
                <w:sz w:val="24"/>
                <w:szCs w:val="40"/>
              </w:rPr>
              <w:t xml:space="preserve"> indicates the fraudster’s involvement in the crime</w:t>
            </w:r>
            <w:r>
              <w:rPr>
                <w:rFonts w:ascii="Times New Roman" w:hAnsi="Times New Roman" w:cs="Times New Roman"/>
                <w:sz w:val="24"/>
                <w:szCs w:val="40"/>
              </w:rPr>
              <w:t xml:space="preserve"> or not, so the investigator will get more clue and feel more confident to discover the nature of fact. For example, the conduct of investigation on Site-taking and enforcement on the Branch Manager, for the stage of interview with all credit officers, there will be several different answers and statements. It is better to allow them to write their notices and then enquire them about their notes as well as try to notice their facial expression and tone of communication which are all the trials for the case.  </w:t>
            </w:r>
            <w:r w:rsidRPr="001C016A">
              <w:rPr>
                <w:rFonts w:ascii="Times New Roman" w:hAnsi="Times New Roman" w:cs="Times New Roman"/>
                <w:sz w:val="24"/>
                <w:szCs w:val="40"/>
              </w:rPr>
              <w:t>Humans reveal much more through their body language than through their words, especially when they are under stress; therefore, an interviewer should always observe gestures and non-verbal behavior</w:t>
            </w:r>
            <w:r>
              <w:rPr>
                <w:rFonts w:ascii="Times New Roman" w:hAnsi="Times New Roman" w:cs="Times New Roman"/>
                <w:sz w:val="24"/>
                <w:szCs w:val="40"/>
              </w:rPr>
              <w:t xml:space="preserve">. </w:t>
            </w:r>
          </w:p>
          <w:p w:rsidR="005A7D5C" w:rsidRPr="008C68CA" w:rsidRDefault="005A7D5C" w:rsidP="005A7D5C">
            <w:pPr>
              <w:spacing w:line="360" w:lineRule="auto"/>
              <w:jc w:val="both"/>
              <w:rPr>
                <w:rFonts w:ascii="Times New Roman" w:hAnsi="Times New Roman" w:cs="Times New Roman"/>
                <w:sz w:val="24"/>
                <w:szCs w:val="40"/>
              </w:rPr>
            </w:pPr>
          </w:p>
          <w:p w:rsidR="005A7D5C" w:rsidRDefault="005A7D5C" w:rsidP="005A7D5C">
            <w:pPr>
              <w:spacing w:line="360" w:lineRule="auto"/>
              <w:rPr>
                <w:rFonts w:ascii="Times New Roman" w:hAnsi="Times New Roman" w:cs="Times New Roman"/>
                <w:sz w:val="24"/>
                <w:szCs w:val="40"/>
              </w:rPr>
            </w:pPr>
            <w:r>
              <w:rPr>
                <w:rFonts w:ascii="Times New Roman" w:hAnsi="Times New Roman" w:cs="Times New Roman"/>
                <w:sz w:val="24"/>
                <w:szCs w:val="40"/>
              </w:rPr>
              <w:t xml:space="preserve">II. </w:t>
            </w:r>
            <w:r w:rsidRPr="008C68CA">
              <w:rPr>
                <w:rFonts w:ascii="Times New Roman" w:hAnsi="Times New Roman" w:cs="Times New Roman"/>
                <w:sz w:val="24"/>
                <w:szCs w:val="40"/>
              </w:rPr>
              <w:t>What is the importance of body language in the interviewing procedure?</w:t>
            </w:r>
          </w:p>
          <w:p w:rsidR="005A7D5C" w:rsidRDefault="005A7D5C" w:rsidP="005A7D5C">
            <w:pPr>
              <w:spacing w:line="360" w:lineRule="auto"/>
              <w:jc w:val="both"/>
              <w:rPr>
                <w:rFonts w:ascii="Times New Roman" w:hAnsi="Times New Roman" w:cs="Times New Roman"/>
                <w:sz w:val="24"/>
                <w:szCs w:val="40"/>
              </w:rPr>
            </w:pPr>
            <w:r>
              <w:rPr>
                <w:rFonts w:ascii="Times New Roman" w:hAnsi="Times New Roman" w:cs="Times New Roman"/>
                <w:sz w:val="24"/>
                <w:szCs w:val="40"/>
              </w:rPr>
              <w:t>Body language refers to someone’s gestures and facial expressions which will disclose that person’s emotions and ways of thinking. The indicators</w:t>
            </w:r>
            <w:r w:rsidRPr="00EE3420">
              <w:rPr>
                <w:rFonts w:ascii="Times New Roman" w:hAnsi="Times New Roman" w:cs="Times New Roman"/>
                <w:sz w:val="24"/>
                <w:szCs w:val="40"/>
              </w:rPr>
              <w:t xml:space="preserve"> of a person’s emotions </w:t>
            </w:r>
            <w:r>
              <w:rPr>
                <w:rFonts w:ascii="Times New Roman" w:hAnsi="Times New Roman" w:cs="Times New Roman"/>
                <w:sz w:val="24"/>
                <w:szCs w:val="40"/>
              </w:rPr>
              <w:t>will be noticed from</w:t>
            </w:r>
            <w:r w:rsidRPr="00EE3420">
              <w:rPr>
                <w:rFonts w:ascii="Times New Roman" w:hAnsi="Times New Roman" w:cs="Times New Roman"/>
                <w:sz w:val="24"/>
                <w:szCs w:val="40"/>
              </w:rPr>
              <w:t xml:space="preserve"> body language such as speed of talking, pitch of voice, crossing the arms or </w:t>
            </w:r>
            <w:r w:rsidRPr="00EE3420">
              <w:rPr>
                <w:rFonts w:ascii="Times New Roman" w:hAnsi="Times New Roman" w:cs="Times New Roman"/>
                <w:sz w:val="24"/>
                <w:szCs w:val="40"/>
              </w:rPr>
              <w:lastRenderedPageBreak/>
              <w:t xml:space="preserve">legs, </w:t>
            </w:r>
            <w:r>
              <w:rPr>
                <w:rFonts w:ascii="Times New Roman" w:hAnsi="Times New Roman" w:cs="Times New Roman"/>
                <w:sz w:val="24"/>
                <w:szCs w:val="40"/>
              </w:rPr>
              <w:t>intonation and others. If the interviewee is the fraudster, there will be some anxiety or stress-related gestures and movements which may hint the deceptive activities. Those are</w:t>
            </w:r>
            <w:r w:rsidRPr="00EE3420">
              <w:rPr>
                <w:rFonts w:ascii="Times New Roman" w:hAnsi="Times New Roman" w:cs="Times New Roman"/>
                <w:sz w:val="24"/>
                <w:szCs w:val="40"/>
              </w:rPr>
              <w:t xml:space="preserve"> speech errors, hesitation, increased voca l pitch, excessive blinking, pupil dilation, touching the hands or the face excessively, shrugging the shoulders, etc</w:t>
            </w:r>
            <w:r>
              <w:rPr>
                <w:rFonts w:ascii="Times New Roman" w:hAnsi="Times New Roman" w:cs="Times New Roman"/>
                <w:sz w:val="24"/>
                <w:szCs w:val="40"/>
              </w:rPr>
              <w:t xml:space="preserve">. However, body gestures and deception suspect defer from people to people, culture to culture and area to area due to its unique so the investigators cannot be fixed on the theories. </w:t>
            </w:r>
          </w:p>
          <w:p w:rsidR="005A7D5C" w:rsidRPr="008C68CA" w:rsidRDefault="005A7D5C" w:rsidP="005A7D5C">
            <w:pPr>
              <w:spacing w:line="360" w:lineRule="auto"/>
              <w:jc w:val="both"/>
              <w:rPr>
                <w:rFonts w:ascii="Times New Roman" w:hAnsi="Times New Roman" w:cs="Times New Roman"/>
                <w:sz w:val="24"/>
                <w:szCs w:val="40"/>
              </w:rPr>
            </w:pPr>
          </w:p>
          <w:p w:rsidR="005A7D5C" w:rsidRDefault="005A7D5C" w:rsidP="005A7D5C">
            <w:pPr>
              <w:spacing w:line="360" w:lineRule="auto"/>
              <w:rPr>
                <w:rFonts w:ascii="Times New Roman" w:hAnsi="Times New Roman" w:cs="Times New Roman"/>
                <w:sz w:val="24"/>
                <w:szCs w:val="40"/>
              </w:rPr>
            </w:pPr>
            <w:r>
              <w:rPr>
                <w:rFonts w:ascii="Times New Roman" w:hAnsi="Times New Roman" w:cs="Times New Roman"/>
                <w:sz w:val="24"/>
                <w:szCs w:val="40"/>
              </w:rPr>
              <w:t xml:space="preserve">III. </w:t>
            </w:r>
            <w:r w:rsidRPr="008C68CA">
              <w:rPr>
                <w:rFonts w:ascii="Times New Roman" w:hAnsi="Times New Roman" w:cs="Times New Roman"/>
                <w:sz w:val="24"/>
                <w:szCs w:val="40"/>
              </w:rPr>
              <w:t>How is the SCAN Analysis used as an investigative technique?</w:t>
            </w:r>
          </w:p>
          <w:p w:rsidR="005A7D5C" w:rsidRDefault="005A7D5C" w:rsidP="005A7D5C">
            <w:pPr>
              <w:spacing w:line="360" w:lineRule="auto"/>
              <w:jc w:val="both"/>
              <w:rPr>
                <w:rFonts w:ascii="Times New Roman" w:hAnsi="Times New Roman" w:cs="Times New Roman"/>
                <w:sz w:val="24"/>
                <w:szCs w:val="40"/>
              </w:rPr>
            </w:pPr>
            <w:r>
              <w:rPr>
                <w:rFonts w:ascii="Times New Roman" w:hAnsi="Times New Roman" w:cs="Times New Roman"/>
                <w:sz w:val="24"/>
                <w:szCs w:val="40"/>
              </w:rPr>
              <w:t>For the investigative technique, SCAN analysis is useful for eliciting the deception not for the nature fact of fraud case. I</w:t>
            </w:r>
            <w:r w:rsidRPr="00483849">
              <w:rPr>
                <w:rFonts w:ascii="Times New Roman" w:hAnsi="Times New Roman" w:cs="Times New Roman"/>
                <w:sz w:val="24"/>
                <w:szCs w:val="40"/>
              </w:rPr>
              <w:t>n order for SCAN be effective</w:t>
            </w:r>
            <w:r>
              <w:rPr>
                <w:rFonts w:ascii="Times New Roman" w:hAnsi="Times New Roman" w:cs="Times New Roman"/>
                <w:sz w:val="24"/>
                <w:szCs w:val="40"/>
              </w:rPr>
              <w:t>, t</w:t>
            </w:r>
            <w:r w:rsidRPr="00483849">
              <w:rPr>
                <w:rFonts w:ascii="Times New Roman" w:hAnsi="Times New Roman" w:cs="Times New Roman"/>
                <w:sz w:val="24"/>
                <w:szCs w:val="40"/>
              </w:rPr>
              <w:t>he analyst needs an unambiguous, trut</w:t>
            </w:r>
            <w:r>
              <w:rPr>
                <w:rFonts w:ascii="Times New Roman" w:hAnsi="Times New Roman" w:cs="Times New Roman"/>
                <w:sz w:val="24"/>
                <w:szCs w:val="40"/>
              </w:rPr>
              <w:t xml:space="preserve">hful statement from the suspect. For the points that SCAN is alike of statement analysis the uses of pronouns and red flag in statements of the narratives. </w:t>
            </w:r>
            <w:r w:rsidRPr="00321F0E">
              <w:rPr>
                <w:rFonts w:ascii="Times New Roman" w:hAnsi="Times New Roman" w:cs="Times New Roman"/>
                <w:sz w:val="24"/>
                <w:szCs w:val="40"/>
              </w:rPr>
              <w:t xml:space="preserve">SCAN depends heavily upon analyzing the statement, not upon observing "kinesics" or "body language". The basic premise is that the structure and contents of a subject's statement reveal whether there's an attempt at deception. SCAN is cross-cultural, in the sense that an interrogator can conduct an analysis </w:t>
            </w:r>
            <w:r>
              <w:rPr>
                <w:rFonts w:ascii="Times New Roman" w:hAnsi="Times New Roman" w:cs="Times New Roman"/>
                <w:sz w:val="24"/>
                <w:szCs w:val="40"/>
              </w:rPr>
              <w:t xml:space="preserve">in any language he understands. </w:t>
            </w:r>
            <w:r w:rsidRPr="00321F0E">
              <w:rPr>
                <w:rFonts w:ascii="Times New Roman" w:hAnsi="Times New Roman" w:cs="Times New Roman"/>
                <w:sz w:val="24"/>
                <w:szCs w:val="40"/>
              </w:rPr>
              <w:t>According to Sapir, at least 90% of statements made are truthful, and most people do not attempt to lie directly. Instead, they hedge, omit crucial facts, feign forgetfulness, and pretend ignorance. The reason for this is that liars are reluctant to commit themselves to their deceptions, instead preferring to use conversational tricks to avoid damaging ad</w:t>
            </w:r>
            <w:r>
              <w:rPr>
                <w:rFonts w:ascii="Times New Roman" w:hAnsi="Times New Roman" w:cs="Times New Roman"/>
                <w:sz w:val="24"/>
                <w:szCs w:val="40"/>
              </w:rPr>
              <w:t xml:space="preserve">missions. </w:t>
            </w:r>
            <w:r w:rsidRPr="00321F0E">
              <w:rPr>
                <w:rFonts w:ascii="Times New Roman" w:hAnsi="Times New Roman" w:cs="Times New Roman"/>
                <w:sz w:val="24"/>
                <w:szCs w:val="40"/>
              </w:rPr>
              <w:t xml:space="preserve">Some use tricks, such as answering a question with a question, or glossing over critical points in the narrative. Another trick is bridging gaps with uninformative statements such as; "We talked" (about what?), or "afterwards" (after what?). </w:t>
            </w:r>
          </w:p>
          <w:p w:rsidR="005A7D5C" w:rsidRPr="008C68CA" w:rsidRDefault="005A7D5C" w:rsidP="005A7D5C">
            <w:pPr>
              <w:spacing w:line="360" w:lineRule="auto"/>
              <w:jc w:val="both"/>
              <w:rPr>
                <w:rFonts w:ascii="Times New Roman" w:hAnsi="Times New Roman" w:cs="Times New Roman"/>
                <w:sz w:val="24"/>
                <w:szCs w:val="40"/>
              </w:rPr>
            </w:pPr>
          </w:p>
          <w:p w:rsidR="005A7D5C" w:rsidRDefault="005A7D5C" w:rsidP="005A7D5C">
            <w:pPr>
              <w:spacing w:line="360" w:lineRule="auto"/>
              <w:rPr>
                <w:rFonts w:ascii="Times New Roman" w:hAnsi="Times New Roman" w:cs="Times New Roman"/>
                <w:sz w:val="24"/>
                <w:szCs w:val="40"/>
              </w:rPr>
            </w:pPr>
            <w:r>
              <w:rPr>
                <w:rFonts w:ascii="Times New Roman" w:hAnsi="Times New Roman" w:cs="Times New Roman"/>
                <w:sz w:val="24"/>
                <w:szCs w:val="40"/>
              </w:rPr>
              <w:t xml:space="preserve">IV. </w:t>
            </w:r>
            <w:r w:rsidRPr="008C68CA">
              <w:rPr>
                <w:rFonts w:ascii="Times New Roman" w:hAnsi="Times New Roman" w:cs="Times New Roman"/>
                <w:sz w:val="24"/>
                <w:szCs w:val="40"/>
              </w:rPr>
              <w:t>What are visual assessing cues? How do eyes of the victim help the interviewer?</w:t>
            </w:r>
          </w:p>
          <w:p w:rsidR="005A7D5C" w:rsidRPr="0052236B" w:rsidRDefault="005A7D5C" w:rsidP="005A7D5C">
            <w:pPr>
              <w:spacing w:line="360" w:lineRule="auto"/>
              <w:rPr>
                <w:rFonts w:ascii="Times New Roman" w:hAnsi="Times New Roman" w:cs="Times New Roman"/>
                <w:sz w:val="24"/>
                <w:szCs w:val="40"/>
              </w:rPr>
            </w:pPr>
            <w:r>
              <w:rPr>
                <w:rFonts w:ascii="Times New Roman" w:hAnsi="Times New Roman" w:cs="Times New Roman"/>
                <w:sz w:val="24"/>
                <w:szCs w:val="40"/>
              </w:rPr>
              <w:t xml:space="preserve">Visual assessing cues are behavior, eye contact, facial expression, body movement &amp; gesture, voice posture, taking speed. </w:t>
            </w:r>
            <w:r w:rsidRPr="0052236B">
              <w:rPr>
                <w:rFonts w:ascii="Times New Roman" w:hAnsi="Times New Roman" w:cs="Times New Roman"/>
                <w:sz w:val="24"/>
                <w:szCs w:val="40"/>
              </w:rPr>
              <w:t>Eye language is a more rel</w:t>
            </w:r>
            <w:r>
              <w:rPr>
                <w:rFonts w:ascii="Times New Roman" w:hAnsi="Times New Roman" w:cs="Times New Roman"/>
                <w:sz w:val="24"/>
                <w:szCs w:val="40"/>
              </w:rPr>
              <w:t>iable indicator of truthfulness since it is the most communicative part of the body. The victims’</w:t>
            </w:r>
            <w:r w:rsidRPr="0052236B">
              <w:rPr>
                <w:rFonts w:ascii="Times New Roman" w:hAnsi="Times New Roman" w:cs="Times New Roman"/>
                <w:sz w:val="24"/>
                <w:szCs w:val="40"/>
              </w:rPr>
              <w:t xml:space="preserve"> eye movements betray whether the thought process is truthful or deceptive. </w:t>
            </w:r>
            <w:r>
              <w:rPr>
                <w:rFonts w:ascii="Times New Roman" w:hAnsi="Times New Roman" w:cs="Times New Roman"/>
                <w:sz w:val="24"/>
                <w:szCs w:val="40"/>
              </w:rPr>
              <w:t>Moreover, b</w:t>
            </w:r>
            <w:r w:rsidRPr="0052236B">
              <w:rPr>
                <w:rFonts w:ascii="Times New Roman" w:hAnsi="Times New Roman" w:cs="Times New Roman"/>
                <w:sz w:val="24"/>
                <w:szCs w:val="40"/>
              </w:rPr>
              <w:t xml:space="preserve">linking is also a part of eye language principles. </w:t>
            </w:r>
            <w:r>
              <w:rPr>
                <w:rFonts w:ascii="Times New Roman" w:hAnsi="Times New Roman" w:cs="Times New Roman"/>
                <w:sz w:val="24"/>
                <w:szCs w:val="40"/>
              </w:rPr>
              <w:t>In fact,</w:t>
            </w:r>
            <w:r w:rsidRPr="0052236B">
              <w:rPr>
                <w:rFonts w:ascii="Times New Roman" w:hAnsi="Times New Roman" w:cs="Times New Roman"/>
                <w:sz w:val="24"/>
                <w:szCs w:val="40"/>
              </w:rPr>
              <w:t xml:space="preserve"> a person blinks about 20 times </w:t>
            </w:r>
            <w:r>
              <w:rPr>
                <w:rFonts w:ascii="Times New Roman" w:hAnsi="Times New Roman" w:cs="Times New Roman"/>
                <w:sz w:val="24"/>
                <w:szCs w:val="40"/>
              </w:rPr>
              <w:t xml:space="preserve">per minute, and </w:t>
            </w:r>
            <w:r w:rsidRPr="0052236B">
              <w:rPr>
                <w:rFonts w:ascii="Times New Roman" w:hAnsi="Times New Roman" w:cs="Times New Roman"/>
                <w:sz w:val="24"/>
                <w:szCs w:val="40"/>
              </w:rPr>
              <w:t xml:space="preserve">each blink lasts about a quarter of a second. When a person is under stress, he/she tends to blink faster and more frequently. </w:t>
            </w:r>
            <w:r>
              <w:rPr>
                <w:rFonts w:ascii="Times New Roman" w:hAnsi="Times New Roman" w:cs="Times New Roman"/>
                <w:sz w:val="24"/>
                <w:szCs w:val="40"/>
              </w:rPr>
              <w:t xml:space="preserve">The followings are some of the notices for the investigators in helping for defining the fact nature of the case: </w:t>
            </w:r>
          </w:p>
          <w:p w:rsidR="005A7D5C" w:rsidRPr="007455A6" w:rsidRDefault="005A7D5C" w:rsidP="005A7D5C">
            <w:pPr>
              <w:pStyle w:val="ListParagraph"/>
              <w:numPr>
                <w:ilvl w:val="0"/>
                <w:numId w:val="23"/>
              </w:numPr>
              <w:spacing w:line="360" w:lineRule="auto"/>
              <w:rPr>
                <w:rFonts w:ascii="Times New Roman" w:hAnsi="Times New Roman"/>
                <w:sz w:val="24"/>
                <w:szCs w:val="40"/>
              </w:rPr>
            </w:pPr>
            <w:r w:rsidRPr="007455A6">
              <w:rPr>
                <w:rFonts w:ascii="Times New Roman" w:hAnsi="Times New Roman"/>
                <w:sz w:val="24"/>
                <w:szCs w:val="40"/>
              </w:rPr>
              <w:lastRenderedPageBreak/>
              <w:t xml:space="preserve">Gazing downward. This normally indicates guilt, defeat or submission. </w:t>
            </w:r>
          </w:p>
          <w:p w:rsidR="005A7D5C" w:rsidRPr="007455A6" w:rsidRDefault="005A7D5C" w:rsidP="005A7D5C">
            <w:pPr>
              <w:pStyle w:val="ListParagraph"/>
              <w:numPr>
                <w:ilvl w:val="0"/>
                <w:numId w:val="23"/>
              </w:numPr>
              <w:spacing w:line="360" w:lineRule="auto"/>
              <w:rPr>
                <w:rFonts w:ascii="Times New Roman" w:hAnsi="Times New Roman"/>
                <w:sz w:val="24"/>
                <w:szCs w:val="40"/>
              </w:rPr>
            </w:pPr>
            <w:r w:rsidRPr="007455A6">
              <w:rPr>
                <w:rFonts w:ascii="Times New Roman" w:hAnsi="Times New Roman"/>
                <w:sz w:val="24"/>
                <w:szCs w:val="40"/>
              </w:rPr>
              <w:t>Raising eyebrows. This indicates surprise, disbelief, frustration or uncertainty.</w:t>
            </w:r>
          </w:p>
          <w:p w:rsidR="005A7D5C" w:rsidRPr="007455A6" w:rsidRDefault="005A7D5C" w:rsidP="005A7D5C">
            <w:pPr>
              <w:pStyle w:val="ListParagraph"/>
              <w:numPr>
                <w:ilvl w:val="0"/>
                <w:numId w:val="23"/>
              </w:numPr>
              <w:spacing w:line="360" w:lineRule="auto"/>
              <w:rPr>
                <w:rFonts w:ascii="Times New Roman" w:hAnsi="Times New Roman"/>
                <w:sz w:val="24"/>
                <w:szCs w:val="40"/>
              </w:rPr>
            </w:pPr>
            <w:r w:rsidRPr="007455A6">
              <w:rPr>
                <w:rFonts w:ascii="Times New Roman" w:hAnsi="Times New Roman"/>
                <w:sz w:val="24"/>
                <w:szCs w:val="40"/>
              </w:rPr>
              <w:t xml:space="preserve">Raising one eyebrow with head tilted back signifies arrogance or disdain.  </w:t>
            </w:r>
          </w:p>
          <w:p w:rsidR="005A7D5C" w:rsidRPr="007455A6" w:rsidRDefault="005A7D5C" w:rsidP="005A7D5C">
            <w:pPr>
              <w:pStyle w:val="ListParagraph"/>
              <w:numPr>
                <w:ilvl w:val="0"/>
                <w:numId w:val="23"/>
              </w:numPr>
              <w:spacing w:line="360" w:lineRule="auto"/>
              <w:rPr>
                <w:rFonts w:ascii="Times New Roman" w:hAnsi="Times New Roman"/>
                <w:sz w:val="24"/>
                <w:szCs w:val="40"/>
              </w:rPr>
            </w:pPr>
            <w:r w:rsidRPr="007455A6">
              <w:rPr>
                <w:rFonts w:ascii="Times New Roman" w:hAnsi="Times New Roman"/>
                <w:sz w:val="24"/>
                <w:szCs w:val="40"/>
              </w:rPr>
              <w:t xml:space="preserve">Dilation of pupils indicates interest in something. </w:t>
            </w:r>
          </w:p>
          <w:p w:rsidR="005A7D5C" w:rsidRPr="007455A6" w:rsidRDefault="005A7D5C" w:rsidP="005A7D5C">
            <w:pPr>
              <w:pStyle w:val="ListParagraph"/>
              <w:numPr>
                <w:ilvl w:val="0"/>
                <w:numId w:val="23"/>
              </w:numPr>
              <w:spacing w:line="360" w:lineRule="auto"/>
              <w:rPr>
                <w:rFonts w:ascii="Times New Roman" w:hAnsi="Times New Roman"/>
                <w:sz w:val="24"/>
                <w:szCs w:val="40"/>
              </w:rPr>
            </w:pPr>
            <w:r w:rsidRPr="007455A6">
              <w:rPr>
                <w:rFonts w:ascii="Times New Roman" w:hAnsi="Times New Roman"/>
                <w:sz w:val="24"/>
                <w:szCs w:val="40"/>
              </w:rPr>
              <w:t>Eye language is a vast area. Coupled with best practices during interviews, it can lead to reliable interpretations and results.</w:t>
            </w:r>
          </w:p>
          <w:p w:rsidR="005A7D5C" w:rsidRPr="008C68CA" w:rsidRDefault="005A7D5C" w:rsidP="005A7D5C">
            <w:pPr>
              <w:spacing w:line="360" w:lineRule="auto"/>
              <w:rPr>
                <w:rFonts w:ascii="Times New Roman" w:hAnsi="Times New Roman" w:cs="Times New Roman"/>
                <w:sz w:val="24"/>
                <w:szCs w:val="40"/>
              </w:rPr>
            </w:pPr>
          </w:p>
          <w:p w:rsidR="005A7D5C" w:rsidRDefault="005A7D5C" w:rsidP="005A7D5C">
            <w:pPr>
              <w:spacing w:line="360" w:lineRule="auto"/>
              <w:rPr>
                <w:rFonts w:ascii="Times New Roman" w:hAnsi="Times New Roman" w:cs="Times New Roman"/>
                <w:sz w:val="24"/>
                <w:szCs w:val="40"/>
              </w:rPr>
            </w:pPr>
            <w:r>
              <w:rPr>
                <w:rFonts w:ascii="Times New Roman" w:hAnsi="Times New Roman" w:cs="Times New Roman"/>
                <w:sz w:val="24"/>
                <w:szCs w:val="40"/>
              </w:rPr>
              <w:t xml:space="preserve">V. </w:t>
            </w:r>
            <w:r w:rsidRPr="008C68CA">
              <w:rPr>
                <w:rFonts w:ascii="Times New Roman" w:hAnsi="Times New Roman" w:cs="Times New Roman"/>
                <w:sz w:val="24"/>
                <w:szCs w:val="40"/>
              </w:rPr>
              <w:t>In addition to body language there are other cues as well wh</w:t>
            </w:r>
            <w:r>
              <w:rPr>
                <w:rFonts w:ascii="Times New Roman" w:hAnsi="Times New Roman" w:cs="Times New Roman"/>
                <w:sz w:val="24"/>
                <w:szCs w:val="40"/>
              </w:rPr>
              <w:t xml:space="preserve">ich help to identify the lies. </w:t>
            </w:r>
            <w:r w:rsidRPr="008C68CA">
              <w:rPr>
                <w:rFonts w:ascii="Times New Roman" w:hAnsi="Times New Roman" w:cs="Times New Roman"/>
                <w:sz w:val="24"/>
                <w:szCs w:val="40"/>
              </w:rPr>
              <w:t xml:space="preserve">What are these? </w:t>
            </w:r>
          </w:p>
          <w:p w:rsidR="005A7D5C" w:rsidRDefault="005A7D5C" w:rsidP="005A7D5C">
            <w:pPr>
              <w:spacing w:line="360" w:lineRule="auto"/>
              <w:rPr>
                <w:rFonts w:ascii="Times New Roman" w:hAnsi="Times New Roman" w:cs="Times New Roman"/>
                <w:sz w:val="24"/>
                <w:szCs w:val="40"/>
              </w:rPr>
            </w:pPr>
            <w:r>
              <w:rPr>
                <w:rFonts w:ascii="Times New Roman" w:hAnsi="Times New Roman" w:cs="Times New Roman"/>
                <w:sz w:val="24"/>
                <w:szCs w:val="40"/>
              </w:rPr>
              <w:t xml:space="preserve">Beside the body language, there are more cues used to help identify the lies as in the following: </w:t>
            </w:r>
          </w:p>
          <w:p w:rsidR="005A7D5C" w:rsidRPr="00C15119" w:rsidRDefault="005A7D5C" w:rsidP="005A7D5C">
            <w:pPr>
              <w:pStyle w:val="ListParagraph"/>
              <w:numPr>
                <w:ilvl w:val="0"/>
                <w:numId w:val="24"/>
              </w:numPr>
              <w:spacing w:line="360" w:lineRule="auto"/>
              <w:rPr>
                <w:rFonts w:ascii="Times New Roman" w:hAnsi="Times New Roman"/>
                <w:sz w:val="24"/>
                <w:szCs w:val="40"/>
              </w:rPr>
            </w:pPr>
            <w:r w:rsidRPr="00847541">
              <w:rPr>
                <w:rFonts w:ascii="Times New Roman" w:hAnsi="Times New Roman"/>
              </w:rPr>
              <w:t>I</w:t>
            </w:r>
            <w:r w:rsidRPr="00847541">
              <w:rPr>
                <w:rFonts w:ascii="Times New Roman" w:hAnsi="Times New Roman"/>
                <w:sz w:val="24"/>
                <w:szCs w:val="40"/>
              </w:rPr>
              <w:t>nterpersonal interactions include things like relating to one another and exchanging feelings, and they can be both verbal and non-verbal</w:t>
            </w:r>
            <w:r w:rsidRPr="00C15119">
              <w:rPr>
                <w:rFonts w:ascii="Times New Roman" w:hAnsi="Times New Roman"/>
                <w:sz w:val="24"/>
                <w:szCs w:val="40"/>
              </w:rPr>
              <w:t xml:space="preserve"> For example, a person may shake his head and say “yes” after making a point; these are inconsistent gestures.  </w:t>
            </w:r>
          </w:p>
          <w:p w:rsidR="005A7D5C" w:rsidRPr="00C15119" w:rsidRDefault="005A7D5C" w:rsidP="005A7D5C">
            <w:pPr>
              <w:pStyle w:val="ListParagraph"/>
              <w:numPr>
                <w:ilvl w:val="0"/>
                <w:numId w:val="24"/>
              </w:numPr>
              <w:spacing w:line="360" w:lineRule="auto"/>
              <w:rPr>
                <w:rFonts w:ascii="Times New Roman" w:hAnsi="Times New Roman"/>
                <w:sz w:val="24"/>
                <w:szCs w:val="40"/>
              </w:rPr>
            </w:pPr>
            <w:r w:rsidRPr="00C15119">
              <w:rPr>
                <w:rFonts w:ascii="Times New Roman" w:hAnsi="Times New Roman"/>
                <w:sz w:val="24"/>
                <w:szCs w:val="40"/>
              </w:rPr>
              <w:t xml:space="preserve">Emotional states. </w:t>
            </w:r>
            <w:r>
              <w:rPr>
                <w:rFonts w:ascii="Times New Roman" w:hAnsi="Times New Roman"/>
                <w:sz w:val="24"/>
                <w:szCs w:val="40"/>
              </w:rPr>
              <w:t>T</w:t>
            </w:r>
            <w:r w:rsidRPr="00C5479D">
              <w:rPr>
                <w:rFonts w:ascii="Times New Roman" w:hAnsi="Times New Roman"/>
                <w:sz w:val="24"/>
                <w:szCs w:val="40"/>
              </w:rPr>
              <w:t xml:space="preserve">he state of a person's emotions (especially with regard to pleasure or dejection); </w:t>
            </w:r>
            <w:r>
              <w:rPr>
                <w:rFonts w:ascii="Times New Roman" w:hAnsi="Times New Roman"/>
                <w:sz w:val="24"/>
                <w:szCs w:val="40"/>
              </w:rPr>
              <w:t>a</w:t>
            </w:r>
            <w:r w:rsidRPr="00C15119">
              <w:rPr>
                <w:rFonts w:ascii="Times New Roman" w:hAnsi="Times New Roman"/>
                <w:sz w:val="24"/>
                <w:szCs w:val="40"/>
              </w:rPr>
              <w:t xml:space="preserve"> deceitful person will usually avoid touching the person investigating or questioning him/her.  </w:t>
            </w:r>
          </w:p>
          <w:p w:rsidR="005A7D5C" w:rsidRPr="00C15119" w:rsidRDefault="005A7D5C" w:rsidP="005A7D5C">
            <w:pPr>
              <w:pStyle w:val="ListParagraph"/>
              <w:numPr>
                <w:ilvl w:val="0"/>
                <w:numId w:val="24"/>
              </w:numPr>
              <w:spacing w:line="360" w:lineRule="auto"/>
              <w:rPr>
                <w:rFonts w:ascii="Times New Roman" w:hAnsi="Times New Roman"/>
                <w:sz w:val="24"/>
                <w:szCs w:val="40"/>
              </w:rPr>
            </w:pPr>
            <w:r w:rsidRPr="00C15119">
              <w:rPr>
                <w:rFonts w:ascii="Times New Roman" w:hAnsi="Times New Roman"/>
                <w:sz w:val="24"/>
                <w:szCs w:val="40"/>
              </w:rPr>
              <w:t xml:space="preserve">Verbal content. For example, reflecting the question in the answer immediately after the question has been asked. Question: “Did you write a cheque to yourself?” Answer: “No, I did not write a cheque to myself.” </w:t>
            </w:r>
          </w:p>
          <w:p w:rsidR="005A7D5C" w:rsidRPr="00C15119" w:rsidRDefault="005A7D5C" w:rsidP="005A7D5C">
            <w:pPr>
              <w:pStyle w:val="ListParagraph"/>
              <w:numPr>
                <w:ilvl w:val="0"/>
                <w:numId w:val="24"/>
              </w:numPr>
              <w:spacing w:line="360" w:lineRule="auto"/>
              <w:rPr>
                <w:rFonts w:ascii="Times New Roman" w:hAnsi="Times New Roman"/>
                <w:sz w:val="24"/>
                <w:szCs w:val="40"/>
              </w:rPr>
            </w:pPr>
            <w:r w:rsidRPr="00C15119">
              <w:rPr>
                <w:rFonts w:ascii="Times New Roman" w:hAnsi="Times New Roman"/>
                <w:sz w:val="24"/>
                <w:szCs w:val="40"/>
              </w:rPr>
              <w:t xml:space="preserve">How comments are phrased. Replacing the pronoun in order to disassociate people or events, for example using “the equipment” instead of “my equipment”. </w:t>
            </w:r>
          </w:p>
          <w:p w:rsidR="005A7D5C" w:rsidRPr="00C15119" w:rsidRDefault="005A7D5C" w:rsidP="005A7D5C">
            <w:pPr>
              <w:pStyle w:val="ListParagraph"/>
              <w:numPr>
                <w:ilvl w:val="0"/>
                <w:numId w:val="24"/>
              </w:numPr>
              <w:spacing w:line="360" w:lineRule="auto"/>
              <w:rPr>
                <w:rFonts w:ascii="Times New Roman" w:hAnsi="Times New Roman"/>
                <w:sz w:val="24"/>
                <w:szCs w:val="40"/>
              </w:rPr>
            </w:pPr>
            <w:r w:rsidRPr="00C15119">
              <w:rPr>
                <w:rFonts w:ascii="Times New Roman" w:hAnsi="Times New Roman"/>
                <w:sz w:val="24"/>
                <w:szCs w:val="40"/>
              </w:rPr>
              <w:t xml:space="preserve">Psychological frames. </w:t>
            </w:r>
            <w:r w:rsidRPr="00C5479D">
              <w:rPr>
                <w:rFonts w:ascii="Times New Roman" w:hAnsi="Times New Roman"/>
                <w:sz w:val="24"/>
                <w:szCs w:val="40"/>
              </w:rPr>
              <w:t xml:space="preserve">It manages the viewer's alignment in relation to the issue. </w:t>
            </w:r>
            <w:r w:rsidRPr="00C15119">
              <w:rPr>
                <w:rFonts w:ascii="Times New Roman" w:hAnsi="Times New Roman"/>
                <w:sz w:val="24"/>
                <w:szCs w:val="40"/>
              </w:rPr>
              <w:t>Lies and deceitful statements always leave out details of what went wrong, except for details related to delays and cancellations.</w:t>
            </w:r>
          </w:p>
          <w:p w:rsidR="005A7D5C" w:rsidRPr="008C68CA" w:rsidRDefault="005A7D5C" w:rsidP="005A7D5C">
            <w:pPr>
              <w:spacing w:line="360" w:lineRule="auto"/>
              <w:rPr>
                <w:rFonts w:ascii="Times New Roman" w:hAnsi="Times New Roman" w:cs="Times New Roman"/>
                <w:sz w:val="24"/>
                <w:szCs w:val="40"/>
              </w:rPr>
            </w:pPr>
          </w:p>
          <w:p w:rsidR="005A7D5C" w:rsidRDefault="005A7D5C" w:rsidP="005A7D5C">
            <w:pPr>
              <w:spacing w:line="360" w:lineRule="auto"/>
              <w:rPr>
                <w:rFonts w:ascii="Times New Roman" w:hAnsi="Times New Roman" w:cs="Times New Roman"/>
                <w:sz w:val="24"/>
                <w:szCs w:val="40"/>
              </w:rPr>
            </w:pPr>
            <w:r w:rsidRPr="008C68CA">
              <w:rPr>
                <w:rFonts w:ascii="Times New Roman" w:hAnsi="Times New Roman" w:cs="Times New Roman"/>
                <w:sz w:val="24"/>
                <w:szCs w:val="40"/>
              </w:rPr>
              <w:t>2.  ‘Asking questions in an audit is different from asking questions in fraud investigation.’ Discuss</w:t>
            </w:r>
          </w:p>
          <w:p w:rsidR="005A7D5C" w:rsidRDefault="005A7D5C" w:rsidP="005A7D5C">
            <w:pPr>
              <w:spacing w:line="360" w:lineRule="auto"/>
              <w:jc w:val="both"/>
              <w:rPr>
                <w:rFonts w:ascii="Times New Roman" w:hAnsi="Times New Roman" w:cs="Times New Roman"/>
                <w:sz w:val="24"/>
                <w:szCs w:val="40"/>
              </w:rPr>
            </w:pPr>
            <w:r>
              <w:rPr>
                <w:rFonts w:ascii="Times New Roman" w:hAnsi="Times New Roman" w:cs="Times New Roman"/>
                <w:sz w:val="24"/>
                <w:szCs w:val="40"/>
              </w:rPr>
              <w:t>Of course, asking questions in auditing requires more effort than in fraud investigation beca</w:t>
            </w:r>
            <w:r>
              <w:rPr>
                <w:rFonts w:ascii="Times New Roman" w:hAnsi="Times New Roman" w:cs="Times New Roman"/>
                <w:sz w:val="24"/>
                <w:szCs w:val="40"/>
              </w:rPr>
              <w:t>use we just want to know a root cause</w:t>
            </w:r>
            <w:r>
              <w:rPr>
                <w:rFonts w:ascii="Times New Roman" w:hAnsi="Times New Roman" w:cs="Times New Roman"/>
                <w:sz w:val="24"/>
                <w:szCs w:val="40"/>
              </w:rPr>
              <w:t xml:space="preserve"> when auditing in order to give a correct recommendation for each issue item while in the course of fraud investigation, we are seeking for the confession and chase the fraudster. For the branch audit fieldwork, when there has been an issue item arising the auditors need to do detailed test and test of controls </w:t>
            </w:r>
            <w:r>
              <w:rPr>
                <w:rFonts w:ascii="Times New Roman" w:hAnsi="Times New Roman" w:cs="Times New Roman"/>
                <w:sz w:val="24"/>
                <w:szCs w:val="40"/>
              </w:rPr>
              <w:lastRenderedPageBreak/>
              <w:t>and then copy supporting documents; moreover, the most important thing is to understand the basic cause of the case so the auditors observe and/or ask questions which sometimes does not require best practice or much experience by just applying 5 whys; however to make sure the related staff is not bored and/or hide information. The Branch Accountant failed to prepare monthly collateral reconciliation report for 6 months since the bank branch starts operating due to missing of this report in place; actually, it clearly mentions in the Collateral Management Policy for this required work done on the branch collateral title deeds. Therefore, the auditors start the asking the question: “Why don’t you prepare the collateral reconciliation report?” Answer: I don’t know about this requirement and I just post the collateral into the system in order for the disbursement and I am so busy with work due to there is only one branch accountant while there are a lot of work. Possible second question: “Why don’t you read the policy? Or do the Branch Manager or related management inform you about this matter?” The auditors could apply more “why” or “Yes-No” questions if the root cased is not revealed yet such as “Have you trained enough before work? Does the policy exist at the branch? Why don’t you concern for the loss of the collateral title? …… The root cause of this issue item can be: Lack of Human Resource, Knowledge Limitation, Missing training or instruction from the related management and so on. In the contrary, asking questions in fraud investigation really needs best practices in the interview techniques. “T</w:t>
            </w:r>
            <w:r w:rsidRPr="00357D4B">
              <w:rPr>
                <w:rFonts w:ascii="Times New Roman" w:hAnsi="Times New Roman" w:cs="Times New Roman"/>
                <w:sz w:val="24"/>
                <w:szCs w:val="40"/>
              </w:rPr>
              <w:t>he best clues usually don’t come from the books but from the people who work with them.</w:t>
            </w:r>
            <w:r>
              <w:rPr>
                <w:rFonts w:ascii="Times New Roman" w:hAnsi="Times New Roman" w:cs="Times New Roman"/>
                <w:sz w:val="24"/>
                <w:szCs w:val="40"/>
              </w:rPr>
              <w:t xml:space="preserve">” from </w:t>
            </w:r>
            <w:r w:rsidRPr="00357D4B">
              <w:rPr>
                <w:rFonts w:ascii="Times New Roman" w:hAnsi="Times New Roman" w:cs="Times New Roman"/>
                <w:sz w:val="24"/>
                <w:szCs w:val="40"/>
              </w:rPr>
              <w:t>Joe Wells</w:t>
            </w:r>
            <w:r>
              <w:rPr>
                <w:rFonts w:ascii="Times New Roman" w:hAnsi="Times New Roman" w:cs="Times New Roman"/>
                <w:sz w:val="24"/>
                <w:szCs w:val="40"/>
              </w:rPr>
              <w:t xml:space="preserve">, it means the investigators must be flexible and well-trained since this does affect the interview outcome and time-consuming. Wise interviewers will need to follow some the categories such as </w:t>
            </w:r>
            <w:r w:rsidRPr="00357D4B">
              <w:rPr>
                <w:rFonts w:ascii="Times New Roman" w:hAnsi="Times New Roman" w:cs="Times New Roman"/>
                <w:sz w:val="24"/>
                <w:szCs w:val="40"/>
              </w:rPr>
              <w:t xml:space="preserve">(i) introductory, (ii) informational, (iii) assessment, (iv) </w:t>
            </w:r>
            <w:r>
              <w:rPr>
                <w:rFonts w:ascii="Times New Roman" w:hAnsi="Times New Roman" w:cs="Times New Roman"/>
                <w:sz w:val="24"/>
                <w:szCs w:val="40"/>
              </w:rPr>
              <w:t xml:space="preserve">closing, (v) admission-seeking and they are suggested to ask open-ended rather than closed-ended questions and which allow the interviewees to talk much better than the interviewers themselves involve so much in talking. </w:t>
            </w:r>
          </w:p>
          <w:p w:rsidR="005A7D5C" w:rsidRPr="008C68CA" w:rsidRDefault="005A7D5C" w:rsidP="005A7D5C">
            <w:pPr>
              <w:spacing w:line="360" w:lineRule="auto"/>
              <w:rPr>
                <w:rFonts w:ascii="Times New Roman" w:hAnsi="Times New Roman" w:cs="Times New Roman"/>
                <w:sz w:val="24"/>
                <w:szCs w:val="40"/>
              </w:rPr>
            </w:pPr>
          </w:p>
          <w:p w:rsidR="005A7D5C" w:rsidRPr="001B6089" w:rsidRDefault="005A7D5C" w:rsidP="005A7D5C">
            <w:pPr>
              <w:spacing w:line="360" w:lineRule="auto"/>
              <w:rPr>
                <w:rFonts w:ascii="Times New Roman" w:hAnsi="Times New Roman" w:cs="Times New Roman"/>
                <w:sz w:val="24"/>
                <w:szCs w:val="40"/>
              </w:rPr>
            </w:pPr>
            <w:r w:rsidRPr="008C68CA">
              <w:rPr>
                <w:rFonts w:ascii="Times New Roman" w:hAnsi="Times New Roman" w:cs="Times New Roman"/>
                <w:sz w:val="24"/>
                <w:szCs w:val="40"/>
              </w:rPr>
              <w:t xml:space="preserve">3.  </w:t>
            </w:r>
            <w:r w:rsidRPr="001B6089">
              <w:rPr>
                <w:rFonts w:ascii="Times New Roman" w:hAnsi="Times New Roman" w:cs="Times New Roman"/>
                <w:sz w:val="24"/>
                <w:szCs w:val="40"/>
              </w:rPr>
              <w:t>Discuss the interviewing procedure for a financially sophisticated victim.</w:t>
            </w:r>
          </w:p>
          <w:p w:rsidR="005A7D5C" w:rsidRDefault="005A7D5C" w:rsidP="005A7D5C">
            <w:pPr>
              <w:spacing w:line="360" w:lineRule="auto"/>
              <w:jc w:val="both"/>
              <w:rPr>
                <w:rFonts w:ascii="Times New Roman" w:hAnsi="Times New Roman" w:cs="Times New Roman"/>
                <w:sz w:val="24"/>
                <w:szCs w:val="40"/>
              </w:rPr>
            </w:pPr>
            <w:r>
              <w:rPr>
                <w:rFonts w:ascii="Times New Roman" w:hAnsi="Times New Roman" w:cs="Times New Roman"/>
                <w:sz w:val="24"/>
                <w:szCs w:val="40"/>
              </w:rPr>
              <w:t>A financially sophisticated victim is the one who experienced with the financial statements and other terms, so the investigator must be experienced and flexible for in the interview process</w:t>
            </w:r>
            <w:r w:rsidRPr="00847541">
              <w:rPr>
                <w:rFonts w:ascii="Times New Roman" w:hAnsi="Times New Roman" w:cs="Times New Roman"/>
                <w:sz w:val="24"/>
                <w:szCs w:val="40"/>
              </w:rPr>
              <w:t xml:space="preserve"> </w:t>
            </w:r>
            <w:r>
              <w:rPr>
                <w:rFonts w:ascii="Times New Roman" w:hAnsi="Times New Roman" w:cs="Times New Roman"/>
                <w:sz w:val="24"/>
                <w:szCs w:val="40"/>
              </w:rPr>
              <w:t>and it is helpful to get to know the story of the case as the guidance in order to define the fact nature of the case. For example, the subject case is the loss of 50,000 USD suspected to be committed by the branch teller via the forgery of signature Saving Account. Let view some t</w:t>
            </w:r>
            <w:r w:rsidRPr="00214EE0">
              <w:rPr>
                <w:rFonts w:ascii="Times New Roman" w:hAnsi="Times New Roman" w:cs="Times New Roman"/>
                <w:sz w:val="24"/>
                <w:szCs w:val="40"/>
              </w:rPr>
              <w:t>echniques to encourage the victim to tell her story</w:t>
            </w:r>
            <w:r>
              <w:rPr>
                <w:rFonts w:ascii="Times New Roman" w:hAnsi="Times New Roman" w:cs="Times New Roman"/>
                <w:sz w:val="24"/>
                <w:szCs w:val="40"/>
              </w:rPr>
              <w:t xml:space="preserve">: </w:t>
            </w:r>
          </w:p>
          <w:p w:rsidR="005A7D5C" w:rsidRPr="00214EE0"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lastRenderedPageBreak/>
              <w:t>Use open-ended prompts</w:t>
            </w:r>
          </w:p>
          <w:p w:rsidR="005A7D5C"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Allow the victim control</w:t>
            </w:r>
          </w:p>
          <w:p w:rsidR="005A7D5C" w:rsidRPr="00214EE0"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Engage in active listing</w:t>
            </w:r>
          </w:p>
          <w:p w:rsidR="005A7D5C" w:rsidRPr="001B6089"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Clarify &amp; summarize</w:t>
            </w:r>
          </w:p>
          <w:p w:rsidR="005A7D5C" w:rsidRPr="00214EE0"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Avoid leading questions</w:t>
            </w:r>
          </w:p>
          <w:p w:rsidR="005A7D5C" w:rsidRPr="00214EE0"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Avoid touching the victim</w:t>
            </w:r>
          </w:p>
          <w:p w:rsidR="005A7D5C"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Monitor the victim’s body language</w:t>
            </w:r>
            <w:r w:rsidRPr="001B6089">
              <w:rPr>
                <w:rFonts w:ascii="Times New Roman" w:hAnsi="Times New Roman" w:cs="Times New Roman"/>
                <w:sz w:val="24"/>
                <w:szCs w:val="40"/>
              </w:rPr>
              <w:t xml:space="preserve"> </w:t>
            </w:r>
          </w:p>
          <w:p w:rsidR="005A7D5C" w:rsidRPr="00214EE0"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Explain the questions asked</w:t>
            </w:r>
          </w:p>
          <w:p w:rsidR="005A7D5C" w:rsidRPr="00214EE0"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 xml:space="preserve">Maintain eye contact </w:t>
            </w:r>
          </w:p>
          <w:p w:rsidR="005A7D5C" w:rsidRPr="001B6089" w:rsidRDefault="005A7D5C" w:rsidP="005A7D5C">
            <w:pPr>
              <w:numPr>
                <w:ilvl w:val="0"/>
                <w:numId w:val="25"/>
              </w:numPr>
              <w:spacing w:line="360" w:lineRule="auto"/>
              <w:jc w:val="both"/>
              <w:rPr>
                <w:rFonts w:ascii="Times New Roman" w:hAnsi="Times New Roman" w:cs="Times New Roman"/>
                <w:sz w:val="24"/>
                <w:szCs w:val="40"/>
              </w:rPr>
            </w:pPr>
            <w:r w:rsidRPr="00214EE0">
              <w:rPr>
                <w:rFonts w:ascii="Times New Roman" w:hAnsi="Times New Roman" w:cs="Times New Roman"/>
                <w:sz w:val="24"/>
                <w:szCs w:val="40"/>
              </w:rPr>
              <w:t>Use effective body language</w:t>
            </w:r>
          </w:p>
          <w:p w:rsidR="005A7D5C" w:rsidRDefault="005A7D5C" w:rsidP="005A7D5C">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Some of the following techniques onto the victim are: </w:t>
            </w:r>
          </w:p>
          <w:p w:rsidR="005A7D5C" w:rsidRPr="00214EE0" w:rsidRDefault="005A7D5C" w:rsidP="005A7D5C">
            <w:pPr>
              <w:numPr>
                <w:ilvl w:val="0"/>
                <w:numId w:val="26"/>
              </w:numPr>
              <w:spacing w:line="360" w:lineRule="auto"/>
              <w:jc w:val="both"/>
              <w:rPr>
                <w:rFonts w:ascii="Times New Roman" w:hAnsi="Times New Roman" w:cs="Times New Roman"/>
                <w:sz w:val="24"/>
                <w:szCs w:val="40"/>
              </w:rPr>
            </w:pPr>
            <w:r w:rsidRPr="001B6089">
              <w:rPr>
                <w:rFonts w:ascii="Times New Roman" w:hAnsi="Times New Roman" w:cs="Times New Roman"/>
                <w:sz w:val="24"/>
                <w:szCs w:val="40"/>
                <w:u w:val="single"/>
              </w:rPr>
              <w:t>Postponing the interview</w:t>
            </w:r>
            <w:r>
              <w:rPr>
                <w:rFonts w:ascii="Times New Roman" w:hAnsi="Times New Roman" w:cs="Times New Roman"/>
                <w:sz w:val="24"/>
                <w:szCs w:val="40"/>
              </w:rPr>
              <w:t xml:space="preserve">: Not interview the teller at first, but at the last step after gathering adequate evidence. The victim is like the suspect, so she is the last person to interview. </w:t>
            </w:r>
          </w:p>
          <w:p w:rsidR="005A7D5C" w:rsidRPr="001B6089" w:rsidRDefault="005A7D5C" w:rsidP="005A7D5C">
            <w:pPr>
              <w:numPr>
                <w:ilvl w:val="0"/>
                <w:numId w:val="26"/>
              </w:numPr>
              <w:spacing w:line="360" w:lineRule="auto"/>
              <w:jc w:val="both"/>
              <w:rPr>
                <w:rFonts w:ascii="Times New Roman" w:hAnsi="Times New Roman" w:cs="Times New Roman"/>
                <w:sz w:val="24"/>
                <w:szCs w:val="40"/>
                <w:u w:val="single"/>
              </w:rPr>
            </w:pPr>
            <w:r w:rsidRPr="001B6089">
              <w:rPr>
                <w:rFonts w:ascii="Times New Roman" w:hAnsi="Times New Roman" w:cs="Times New Roman"/>
                <w:sz w:val="24"/>
                <w:szCs w:val="40"/>
                <w:u w:val="single"/>
              </w:rPr>
              <w:t>Consider victim’s ways of looking and behaving</w:t>
            </w:r>
            <w:r>
              <w:rPr>
                <w:rFonts w:ascii="Times New Roman" w:hAnsi="Times New Roman" w:cs="Times New Roman"/>
                <w:sz w:val="24"/>
                <w:szCs w:val="40"/>
              </w:rPr>
              <w:t xml:space="preserve">: It is about the observation onto the victim’s reactions such as body language and facial expression. </w:t>
            </w:r>
          </w:p>
          <w:p w:rsidR="005A7D5C" w:rsidRPr="001B6089" w:rsidRDefault="005A7D5C" w:rsidP="005A7D5C">
            <w:pPr>
              <w:numPr>
                <w:ilvl w:val="0"/>
                <w:numId w:val="26"/>
              </w:numPr>
              <w:spacing w:line="360" w:lineRule="auto"/>
              <w:jc w:val="both"/>
              <w:rPr>
                <w:rFonts w:ascii="Times New Roman" w:hAnsi="Times New Roman" w:cs="Times New Roman"/>
                <w:sz w:val="24"/>
                <w:szCs w:val="40"/>
              </w:rPr>
            </w:pPr>
            <w:r w:rsidRPr="001B6089">
              <w:rPr>
                <w:rFonts w:ascii="Times New Roman" w:hAnsi="Times New Roman" w:cs="Times New Roman"/>
                <w:sz w:val="24"/>
                <w:szCs w:val="40"/>
                <w:u w:val="single"/>
              </w:rPr>
              <w:t>Anticipate a defense</w:t>
            </w:r>
            <w:r>
              <w:rPr>
                <w:rFonts w:ascii="Times New Roman" w:hAnsi="Times New Roman" w:cs="Times New Roman"/>
                <w:sz w:val="24"/>
                <w:szCs w:val="40"/>
              </w:rPr>
              <w:t xml:space="preserve">: Because the teller is the victim, she will be positive to defense the fraudulent act on this case; therefore, we must encourage her to explain as much as possible in order for leaking information or possible red flags to chase for this fraud case. </w:t>
            </w:r>
          </w:p>
          <w:p w:rsidR="005A7D5C" w:rsidRPr="001B6089" w:rsidRDefault="005A7D5C" w:rsidP="005A7D5C">
            <w:pPr>
              <w:numPr>
                <w:ilvl w:val="0"/>
                <w:numId w:val="26"/>
              </w:numPr>
              <w:spacing w:line="360" w:lineRule="auto"/>
              <w:jc w:val="both"/>
              <w:rPr>
                <w:rFonts w:ascii="Times New Roman" w:hAnsi="Times New Roman" w:cs="Times New Roman"/>
                <w:sz w:val="24"/>
                <w:szCs w:val="40"/>
                <w:u w:val="single"/>
              </w:rPr>
            </w:pPr>
            <w:r w:rsidRPr="001B6089">
              <w:rPr>
                <w:rFonts w:ascii="Times New Roman" w:hAnsi="Times New Roman" w:cs="Times New Roman"/>
                <w:sz w:val="24"/>
                <w:szCs w:val="40"/>
                <w:u w:val="single"/>
              </w:rPr>
              <w:t>Review all case information</w:t>
            </w:r>
            <w:r>
              <w:rPr>
                <w:rFonts w:ascii="Times New Roman" w:hAnsi="Times New Roman" w:cs="Times New Roman"/>
                <w:sz w:val="24"/>
                <w:szCs w:val="40"/>
              </w:rPr>
              <w:t xml:space="preserve">: The case is from the forgery of sign in order to take money from saving account. The information to be reviewed such as application forms, specimens, identification documents, systems, and CCTV Cameras. </w:t>
            </w:r>
          </w:p>
          <w:p w:rsidR="005A7D5C" w:rsidRPr="00214EE0" w:rsidRDefault="005A7D5C" w:rsidP="005A7D5C">
            <w:pPr>
              <w:spacing w:line="360" w:lineRule="auto"/>
              <w:ind w:left="720"/>
              <w:jc w:val="both"/>
              <w:rPr>
                <w:rFonts w:ascii="Times New Roman" w:hAnsi="Times New Roman" w:cs="Times New Roman"/>
                <w:sz w:val="24"/>
                <w:szCs w:val="40"/>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Default="0098508F"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Pr="00B0415E" w:rsidRDefault="005A7D5C"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1"/>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45C5" w:rsidP="005A7D5C">
            <w:pPr>
              <w:rPr>
                <w:rFonts w:cs="Bliss-Regular"/>
                <w:color w:val="000000"/>
              </w:rPr>
            </w:pPr>
            <w:r>
              <w:rPr>
                <w:rFonts w:cs="Bliss-Regular"/>
                <w:color w:val="000000"/>
              </w:rPr>
              <w:t>1</w:t>
            </w:r>
            <w:r w:rsidR="005A7D5C">
              <w:rPr>
                <w:rFonts w:cs="Bliss-Regular"/>
                <w:color w:val="000000"/>
              </w:rPr>
              <w:t>8</w:t>
            </w:r>
            <w:r w:rsidR="009B2B51">
              <w:rPr>
                <w:rFonts w:cs="Bliss-Regular"/>
                <w:color w:val="000000"/>
              </w:rPr>
              <w:t>-</w:t>
            </w:r>
            <w:r w:rsidR="005A7D5C">
              <w:rPr>
                <w:rFonts w:cs="Bliss-Regular"/>
                <w:color w:val="000000"/>
              </w:rPr>
              <w:t>May</w:t>
            </w:r>
            <w:r w:rsidR="009B2B51">
              <w:rPr>
                <w:rFonts w:cs="Bliss-Regular"/>
                <w:color w:val="000000"/>
              </w:rPr>
              <w:t>-201</w:t>
            </w:r>
            <w:r w:rsidR="00353F9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EBE" w:rsidRDefault="00842EBE" w:rsidP="00CB4D0A">
      <w:pPr>
        <w:spacing w:after="0" w:line="240" w:lineRule="auto"/>
      </w:pPr>
      <w:r>
        <w:separator/>
      </w:r>
    </w:p>
  </w:endnote>
  <w:endnote w:type="continuationSeparator" w:id="0">
    <w:p w:rsidR="00842EBE" w:rsidRDefault="00842E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EBE" w:rsidRDefault="00842EBE" w:rsidP="00CB4D0A">
      <w:pPr>
        <w:spacing w:after="0" w:line="240" w:lineRule="auto"/>
      </w:pPr>
      <w:r>
        <w:separator/>
      </w:r>
    </w:p>
  </w:footnote>
  <w:footnote w:type="continuationSeparator" w:id="0">
    <w:p w:rsidR="00842EBE" w:rsidRDefault="00842E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7D189F"/>
    <w:multiLevelType w:val="hybridMultilevel"/>
    <w:tmpl w:val="7850F506"/>
    <w:lvl w:ilvl="0" w:tplc="D9EE2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9971F24"/>
    <w:multiLevelType w:val="hybridMultilevel"/>
    <w:tmpl w:val="3CF26C90"/>
    <w:lvl w:ilvl="0" w:tplc="D9EE2EE6">
      <w:start w:val="1"/>
      <w:numFmt w:val="bullet"/>
      <w:lvlText w:val=""/>
      <w:lvlJc w:val="left"/>
      <w:pPr>
        <w:ind w:left="360" w:hanging="360"/>
      </w:pPr>
      <w:rPr>
        <w:rFonts w:ascii="Symbol" w:hAnsi="Symbol" w:hint="default"/>
      </w:rPr>
    </w:lvl>
    <w:lvl w:ilvl="1" w:tplc="D9EE2EE6">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92724D"/>
    <w:multiLevelType w:val="hybridMultilevel"/>
    <w:tmpl w:val="71AE9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0A824B3"/>
    <w:multiLevelType w:val="hybridMultilevel"/>
    <w:tmpl w:val="6026E6B8"/>
    <w:lvl w:ilvl="0" w:tplc="D9EE2EE6">
      <w:start w:val="1"/>
      <w:numFmt w:val="bullet"/>
      <w:lvlText w:val=""/>
      <w:lvlJc w:val="left"/>
      <w:pPr>
        <w:tabs>
          <w:tab w:val="num" w:pos="360"/>
        </w:tabs>
        <w:ind w:left="360" w:hanging="360"/>
      </w:pPr>
      <w:rPr>
        <w:rFonts w:ascii="Symbol" w:hAnsi="Symbol" w:hint="default"/>
      </w:rPr>
    </w:lvl>
    <w:lvl w:ilvl="1" w:tplc="681A4A52">
      <w:start w:val="1"/>
      <w:numFmt w:val="bullet"/>
      <w:lvlText w:val=""/>
      <w:lvlJc w:val="left"/>
      <w:pPr>
        <w:tabs>
          <w:tab w:val="num" w:pos="1080"/>
        </w:tabs>
        <w:ind w:left="1080" w:hanging="360"/>
      </w:pPr>
      <w:rPr>
        <w:rFonts w:ascii="Wingdings" w:hAnsi="Wingdings" w:hint="default"/>
      </w:rPr>
    </w:lvl>
    <w:lvl w:ilvl="2" w:tplc="A5BA5C78" w:tentative="1">
      <w:start w:val="1"/>
      <w:numFmt w:val="bullet"/>
      <w:lvlText w:val=""/>
      <w:lvlJc w:val="left"/>
      <w:pPr>
        <w:tabs>
          <w:tab w:val="num" w:pos="1800"/>
        </w:tabs>
        <w:ind w:left="1800" w:hanging="360"/>
      </w:pPr>
      <w:rPr>
        <w:rFonts w:ascii="Wingdings" w:hAnsi="Wingdings" w:hint="default"/>
      </w:rPr>
    </w:lvl>
    <w:lvl w:ilvl="3" w:tplc="E9AC0340" w:tentative="1">
      <w:start w:val="1"/>
      <w:numFmt w:val="bullet"/>
      <w:lvlText w:val=""/>
      <w:lvlJc w:val="left"/>
      <w:pPr>
        <w:tabs>
          <w:tab w:val="num" w:pos="2520"/>
        </w:tabs>
        <w:ind w:left="2520" w:hanging="360"/>
      </w:pPr>
      <w:rPr>
        <w:rFonts w:ascii="Wingdings" w:hAnsi="Wingdings" w:hint="default"/>
      </w:rPr>
    </w:lvl>
    <w:lvl w:ilvl="4" w:tplc="30069EF4" w:tentative="1">
      <w:start w:val="1"/>
      <w:numFmt w:val="bullet"/>
      <w:lvlText w:val=""/>
      <w:lvlJc w:val="left"/>
      <w:pPr>
        <w:tabs>
          <w:tab w:val="num" w:pos="3240"/>
        </w:tabs>
        <w:ind w:left="3240" w:hanging="360"/>
      </w:pPr>
      <w:rPr>
        <w:rFonts w:ascii="Wingdings" w:hAnsi="Wingdings" w:hint="default"/>
      </w:rPr>
    </w:lvl>
    <w:lvl w:ilvl="5" w:tplc="629C52B2" w:tentative="1">
      <w:start w:val="1"/>
      <w:numFmt w:val="bullet"/>
      <w:lvlText w:val=""/>
      <w:lvlJc w:val="left"/>
      <w:pPr>
        <w:tabs>
          <w:tab w:val="num" w:pos="3960"/>
        </w:tabs>
        <w:ind w:left="3960" w:hanging="360"/>
      </w:pPr>
      <w:rPr>
        <w:rFonts w:ascii="Wingdings" w:hAnsi="Wingdings" w:hint="default"/>
      </w:rPr>
    </w:lvl>
    <w:lvl w:ilvl="6" w:tplc="E084D51C" w:tentative="1">
      <w:start w:val="1"/>
      <w:numFmt w:val="bullet"/>
      <w:lvlText w:val=""/>
      <w:lvlJc w:val="left"/>
      <w:pPr>
        <w:tabs>
          <w:tab w:val="num" w:pos="4680"/>
        </w:tabs>
        <w:ind w:left="4680" w:hanging="360"/>
      </w:pPr>
      <w:rPr>
        <w:rFonts w:ascii="Wingdings" w:hAnsi="Wingdings" w:hint="default"/>
      </w:rPr>
    </w:lvl>
    <w:lvl w:ilvl="7" w:tplc="37DEB3BA" w:tentative="1">
      <w:start w:val="1"/>
      <w:numFmt w:val="bullet"/>
      <w:lvlText w:val=""/>
      <w:lvlJc w:val="left"/>
      <w:pPr>
        <w:tabs>
          <w:tab w:val="num" w:pos="5400"/>
        </w:tabs>
        <w:ind w:left="5400" w:hanging="360"/>
      </w:pPr>
      <w:rPr>
        <w:rFonts w:ascii="Wingdings" w:hAnsi="Wingdings" w:hint="default"/>
      </w:rPr>
    </w:lvl>
    <w:lvl w:ilvl="8" w:tplc="6B9A809C" w:tentative="1">
      <w:start w:val="1"/>
      <w:numFmt w:val="bullet"/>
      <w:lvlText w:val=""/>
      <w:lvlJc w:val="left"/>
      <w:pPr>
        <w:tabs>
          <w:tab w:val="num" w:pos="6120"/>
        </w:tabs>
        <w:ind w:left="6120" w:hanging="360"/>
      </w:pPr>
      <w:rPr>
        <w:rFonts w:ascii="Wingdings" w:hAnsi="Wingdings" w:hint="default"/>
      </w:rPr>
    </w:lvl>
  </w:abstractNum>
  <w:abstractNum w:abstractNumId="12">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A3B7B9B"/>
    <w:multiLevelType w:val="hybridMultilevel"/>
    <w:tmpl w:val="EAAEAE80"/>
    <w:lvl w:ilvl="0" w:tplc="D9EE2EE6">
      <w:start w:val="1"/>
      <w:numFmt w:val="bullet"/>
      <w:lvlText w:val=""/>
      <w:lvlJc w:val="left"/>
      <w:pPr>
        <w:ind w:left="720" w:hanging="360"/>
      </w:pPr>
      <w:rPr>
        <w:rFonts w:ascii="Symbol" w:hAnsi="Symbol" w:hint="default"/>
      </w:rPr>
    </w:lvl>
    <w:lvl w:ilvl="1" w:tplc="106C59D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4506B6"/>
    <w:multiLevelType w:val="hybridMultilevel"/>
    <w:tmpl w:val="7C66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EF7891"/>
    <w:multiLevelType w:val="hybridMultilevel"/>
    <w:tmpl w:val="2E865480"/>
    <w:lvl w:ilvl="0" w:tplc="0409000F">
      <w:start w:val="1"/>
      <w:numFmt w:val="decimal"/>
      <w:lvlText w:val="%1."/>
      <w:lvlJc w:val="left"/>
      <w:pPr>
        <w:tabs>
          <w:tab w:val="num" w:pos="720"/>
        </w:tabs>
        <w:ind w:left="720" w:hanging="360"/>
      </w:pPr>
      <w:rPr>
        <w:rFonts w:hint="default"/>
      </w:rPr>
    </w:lvl>
    <w:lvl w:ilvl="1" w:tplc="1D048BBC" w:tentative="1">
      <w:start w:val="1"/>
      <w:numFmt w:val="bullet"/>
      <w:lvlText w:val=""/>
      <w:lvlJc w:val="left"/>
      <w:pPr>
        <w:tabs>
          <w:tab w:val="num" w:pos="1440"/>
        </w:tabs>
        <w:ind w:left="1440" w:hanging="360"/>
      </w:pPr>
      <w:rPr>
        <w:rFonts w:ascii="Wingdings" w:hAnsi="Wingdings" w:hint="default"/>
      </w:rPr>
    </w:lvl>
    <w:lvl w:ilvl="2" w:tplc="3738CA24" w:tentative="1">
      <w:start w:val="1"/>
      <w:numFmt w:val="bullet"/>
      <w:lvlText w:val=""/>
      <w:lvlJc w:val="left"/>
      <w:pPr>
        <w:tabs>
          <w:tab w:val="num" w:pos="2160"/>
        </w:tabs>
        <w:ind w:left="2160" w:hanging="360"/>
      </w:pPr>
      <w:rPr>
        <w:rFonts w:ascii="Wingdings" w:hAnsi="Wingdings" w:hint="default"/>
      </w:rPr>
    </w:lvl>
    <w:lvl w:ilvl="3" w:tplc="496C286C" w:tentative="1">
      <w:start w:val="1"/>
      <w:numFmt w:val="bullet"/>
      <w:lvlText w:val=""/>
      <w:lvlJc w:val="left"/>
      <w:pPr>
        <w:tabs>
          <w:tab w:val="num" w:pos="2880"/>
        </w:tabs>
        <w:ind w:left="2880" w:hanging="360"/>
      </w:pPr>
      <w:rPr>
        <w:rFonts w:ascii="Wingdings" w:hAnsi="Wingdings" w:hint="default"/>
      </w:rPr>
    </w:lvl>
    <w:lvl w:ilvl="4" w:tplc="1B96ACAC" w:tentative="1">
      <w:start w:val="1"/>
      <w:numFmt w:val="bullet"/>
      <w:lvlText w:val=""/>
      <w:lvlJc w:val="left"/>
      <w:pPr>
        <w:tabs>
          <w:tab w:val="num" w:pos="3600"/>
        </w:tabs>
        <w:ind w:left="3600" w:hanging="360"/>
      </w:pPr>
      <w:rPr>
        <w:rFonts w:ascii="Wingdings" w:hAnsi="Wingdings" w:hint="default"/>
      </w:rPr>
    </w:lvl>
    <w:lvl w:ilvl="5" w:tplc="B85E9256" w:tentative="1">
      <w:start w:val="1"/>
      <w:numFmt w:val="bullet"/>
      <w:lvlText w:val=""/>
      <w:lvlJc w:val="left"/>
      <w:pPr>
        <w:tabs>
          <w:tab w:val="num" w:pos="4320"/>
        </w:tabs>
        <w:ind w:left="4320" w:hanging="360"/>
      </w:pPr>
      <w:rPr>
        <w:rFonts w:ascii="Wingdings" w:hAnsi="Wingdings" w:hint="default"/>
      </w:rPr>
    </w:lvl>
    <w:lvl w:ilvl="6" w:tplc="6EF402B4" w:tentative="1">
      <w:start w:val="1"/>
      <w:numFmt w:val="bullet"/>
      <w:lvlText w:val=""/>
      <w:lvlJc w:val="left"/>
      <w:pPr>
        <w:tabs>
          <w:tab w:val="num" w:pos="5040"/>
        </w:tabs>
        <w:ind w:left="5040" w:hanging="360"/>
      </w:pPr>
      <w:rPr>
        <w:rFonts w:ascii="Wingdings" w:hAnsi="Wingdings" w:hint="default"/>
      </w:rPr>
    </w:lvl>
    <w:lvl w:ilvl="7" w:tplc="0E6C8E0E" w:tentative="1">
      <w:start w:val="1"/>
      <w:numFmt w:val="bullet"/>
      <w:lvlText w:val=""/>
      <w:lvlJc w:val="left"/>
      <w:pPr>
        <w:tabs>
          <w:tab w:val="num" w:pos="5760"/>
        </w:tabs>
        <w:ind w:left="5760" w:hanging="360"/>
      </w:pPr>
      <w:rPr>
        <w:rFonts w:ascii="Wingdings" w:hAnsi="Wingdings" w:hint="default"/>
      </w:rPr>
    </w:lvl>
    <w:lvl w:ilvl="8" w:tplc="218E92DA" w:tentative="1">
      <w:start w:val="1"/>
      <w:numFmt w:val="bullet"/>
      <w:lvlText w:val=""/>
      <w:lvlJc w:val="left"/>
      <w:pPr>
        <w:tabs>
          <w:tab w:val="num" w:pos="6480"/>
        </w:tabs>
        <w:ind w:left="6480" w:hanging="360"/>
      </w:pPr>
      <w:rPr>
        <w:rFonts w:ascii="Wingdings" w:hAnsi="Wingdings" w:hint="default"/>
      </w:rPr>
    </w:lvl>
  </w:abstractNum>
  <w:abstractNum w:abstractNumId="17">
    <w:nsid w:val="4D6968AB"/>
    <w:multiLevelType w:val="hybridMultilevel"/>
    <w:tmpl w:val="91921C0E"/>
    <w:lvl w:ilvl="0" w:tplc="04090001">
      <w:start w:val="1"/>
      <w:numFmt w:val="bullet"/>
      <w:lvlText w:val=""/>
      <w:lvlJc w:val="left"/>
      <w:pPr>
        <w:ind w:left="720" w:hanging="360"/>
      </w:pPr>
      <w:rPr>
        <w:rFonts w:ascii="Symbol" w:hAnsi="Symbol" w:hint="default"/>
      </w:rPr>
    </w:lvl>
    <w:lvl w:ilvl="1" w:tplc="9FF639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BE1A90"/>
    <w:multiLevelType w:val="hybridMultilevel"/>
    <w:tmpl w:val="90F2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5DF5CAA"/>
    <w:multiLevelType w:val="hybridMultilevel"/>
    <w:tmpl w:val="5E3E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5BC0D16"/>
    <w:multiLevelType w:val="hybridMultilevel"/>
    <w:tmpl w:val="4FFC0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F50003F"/>
    <w:multiLevelType w:val="hybridMultilevel"/>
    <w:tmpl w:val="2248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21"/>
  </w:num>
  <w:num w:numId="4">
    <w:abstractNumId w:val="9"/>
  </w:num>
  <w:num w:numId="5">
    <w:abstractNumId w:val="5"/>
  </w:num>
  <w:num w:numId="6">
    <w:abstractNumId w:val="1"/>
  </w:num>
  <w:num w:numId="7">
    <w:abstractNumId w:val="22"/>
  </w:num>
  <w:num w:numId="8">
    <w:abstractNumId w:val="7"/>
  </w:num>
  <w:num w:numId="9">
    <w:abstractNumId w:val="4"/>
  </w:num>
  <w:num w:numId="10">
    <w:abstractNumId w:val="15"/>
  </w:num>
  <w:num w:numId="11">
    <w:abstractNumId w:val="6"/>
  </w:num>
  <w:num w:numId="12">
    <w:abstractNumId w:val="3"/>
  </w:num>
  <w:num w:numId="13">
    <w:abstractNumId w:val="12"/>
  </w:num>
  <w:num w:numId="14">
    <w:abstractNumId w:val="0"/>
  </w:num>
  <w:num w:numId="15">
    <w:abstractNumId w:val="8"/>
  </w:num>
  <w:num w:numId="16">
    <w:abstractNumId w:val="2"/>
  </w:num>
  <w:num w:numId="17">
    <w:abstractNumId w:val="24"/>
  </w:num>
  <w:num w:numId="18">
    <w:abstractNumId w:val="13"/>
  </w:num>
  <w:num w:numId="19">
    <w:abstractNumId w:val="18"/>
  </w:num>
  <w:num w:numId="20">
    <w:abstractNumId w:val="17"/>
  </w:num>
  <w:num w:numId="21">
    <w:abstractNumId w:val="14"/>
  </w:num>
  <w:num w:numId="22">
    <w:abstractNumId w:val="10"/>
  </w:num>
  <w:num w:numId="23">
    <w:abstractNumId w:val="25"/>
  </w:num>
  <w:num w:numId="24">
    <w:abstractNumId w:val="23"/>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53F9E"/>
    <w:rsid w:val="00371885"/>
    <w:rsid w:val="003E2B87"/>
    <w:rsid w:val="00405895"/>
    <w:rsid w:val="004058DF"/>
    <w:rsid w:val="00486F1A"/>
    <w:rsid w:val="00490CB9"/>
    <w:rsid w:val="004A28D1"/>
    <w:rsid w:val="004A2CE2"/>
    <w:rsid w:val="004E3CDA"/>
    <w:rsid w:val="004F4B4D"/>
    <w:rsid w:val="0050216D"/>
    <w:rsid w:val="00503D7E"/>
    <w:rsid w:val="0050778F"/>
    <w:rsid w:val="00535F31"/>
    <w:rsid w:val="00574D64"/>
    <w:rsid w:val="00591365"/>
    <w:rsid w:val="005A7D5C"/>
    <w:rsid w:val="005B31E4"/>
    <w:rsid w:val="006034F6"/>
    <w:rsid w:val="00607874"/>
    <w:rsid w:val="00607E77"/>
    <w:rsid w:val="00617BB3"/>
    <w:rsid w:val="00645CDD"/>
    <w:rsid w:val="006823A7"/>
    <w:rsid w:val="006A5ECA"/>
    <w:rsid w:val="006C45C5"/>
    <w:rsid w:val="0070347F"/>
    <w:rsid w:val="007056E6"/>
    <w:rsid w:val="0070678E"/>
    <w:rsid w:val="00756180"/>
    <w:rsid w:val="00770028"/>
    <w:rsid w:val="00831C11"/>
    <w:rsid w:val="00836CCB"/>
    <w:rsid w:val="00842EBE"/>
    <w:rsid w:val="008A60B4"/>
    <w:rsid w:val="008B3C31"/>
    <w:rsid w:val="008B64FE"/>
    <w:rsid w:val="00935BF7"/>
    <w:rsid w:val="0095442C"/>
    <w:rsid w:val="00983942"/>
    <w:rsid w:val="0098508F"/>
    <w:rsid w:val="009B2B51"/>
    <w:rsid w:val="009C37E0"/>
    <w:rsid w:val="00A14B66"/>
    <w:rsid w:val="00A65CF7"/>
    <w:rsid w:val="00A851DA"/>
    <w:rsid w:val="00AA6CEE"/>
    <w:rsid w:val="00AB4CBE"/>
    <w:rsid w:val="00AC7D5B"/>
    <w:rsid w:val="00AE1481"/>
    <w:rsid w:val="00AE1B10"/>
    <w:rsid w:val="00AF47E8"/>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1367"/>
    <w:rsid w:val="00E00821"/>
    <w:rsid w:val="00E04DB4"/>
    <w:rsid w:val="00E30679"/>
    <w:rsid w:val="00E4597D"/>
    <w:rsid w:val="00E54832"/>
    <w:rsid w:val="00E56A90"/>
    <w:rsid w:val="00E641CC"/>
    <w:rsid w:val="00EA30AB"/>
    <w:rsid w:val="00EB3925"/>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F4CA4-5690-4D2D-884F-37BC1B85A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8</cp:revision>
  <dcterms:created xsi:type="dcterms:W3CDTF">2014-12-26T02:47:00Z</dcterms:created>
  <dcterms:modified xsi:type="dcterms:W3CDTF">2015-05-18T11:34:00Z</dcterms:modified>
</cp:coreProperties>
</file>