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3394" w:rsidP="00A851DA">
      <w:pPr>
        <w:rPr>
          <w:lang w:val="en-US"/>
        </w:rPr>
      </w:pPr>
      <w:r w:rsidRPr="0079339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74329" w:rsidRDefault="00674329" w:rsidP="00405895">
                  <w:pPr>
                    <w:jc w:val="center"/>
                    <w:rPr>
                      <w:b/>
                      <w:bCs/>
                      <w:color w:val="002060"/>
                      <w:sz w:val="44"/>
                      <w:szCs w:val="40"/>
                    </w:rPr>
                  </w:pPr>
                  <w:r>
                    <w:rPr>
                      <w:sz w:val="24"/>
                    </w:rPr>
                    <w:t xml:space="preserve">   </w:t>
                  </w:r>
                  <w:r>
                    <w:rPr>
                      <w:b/>
                      <w:bCs/>
                      <w:color w:val="002060"/>
                      <w:sz w:val="44"/>
                      <w:szCs w:val="40"/>
                    </w:rPr>
                    <w:t>Assignment Cover Sheet</w:t>
                  </w:r>
                </w:p>
                <w:p w:rsidR="00674329" w:rsidRDefault="0067432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1B2C8E">
              <w:t>1</w:t>
            </w:r>
            <w:r w:rsidR="007C7346">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72D2A" w:rsidRPr="000F69F1" w:rsidRDefault="00272D2A" w:rsidP="00440626">
            <w:pPr>
              <w:autoSpaceDE w:val="0"/>
              <w:autoSpaceDN w:val="0"/>
              <w:adjustRightInd w:val="0"/>
              <w:rPr>
                <w:rFonts w:ascii="Calibri" w:hAnsi="Calibri" w:cs="Calibri"/>
              </w:rPr>
            </w:pPr>
          </w:p>
          <w:p w:rsidR="007C7346" w:rsidRDefault="007C7346" w:rsidP="00561089">
            <w:pPr>
              <w:autoSpaceDE w:val="0"/>
              <w:autoSpaceDN w:val="0"/>
              <w:adjustRightInd w:val="0"/>
            </w:pPr>
            <w:r>
              <w:t xml:space="preserve">1. Give short answers for the following questions: </w:t>
            </w:r>
          </w:p>
          <w:p w:rsidR="007C7346" w:rsidRDefault="007C7346" w:rsidP="00561089">
            <w:pPr>
              <w:autoSpaceDE w:val="0"/>
              <w:autoSpaceDN w:val="0"/>
              <w:adjustRightInd w:val="0"/>
            </w:pPr>
            <w:r>
              <w:t xml:space="preserve">    I. What is meant by the term empowerment &amp; Ownership?</w:t>
            </w:r>
          </w:p>
          <w:p w:rsidR="004F3F05" w:rsidRDefault="004F3F05" w:rsidP="00561089">
            <w:pPr>
              <w:autoSpaceDE w:val="0"/>
              <w:autoSpaceDN w:val="0"/>
              <w:adjustRightInd w:val="0"/>
            </w:pPr>
          </w:p>
          <w:p w:rsidR="007C7346" w:rsidRDefault="007C7346" w:rsidP="00561089">
            <w:pPr>
              <w:autoSpaceDE w:val="0"/>
              <w:autoSpaceDN w:val="0"/>
              <w:adjustRightInd w:val="0"/>
              <w:rPr>
                <w:rFonts w:cs="Helvetica"/>
                <w:color w:val="555555"/>
                <w:shd w:val="clear" w:color="auto" w:fill="FFFFFF"/>
              </w:rPr>
            </w:pPr>
            <w:r w:rsidRPr="007C7346">
              <w:rPr>
                <w:rFonts w:cs="Helvetica"/>
                <w:b/>
                <w:bCs/>
                <w:shd w:val="clear" w:color="auto" w:fill="FFFFFF"/>
              </w:rPr>
              <w:t>Employee empowerment</w:t>
            </w:r>
            <w:r w:rsidRPr="007C7346">
              <w:rPr>
                <w:rStyle w:val="apple-converted-space"/>
                <w:rFonts w:cs="Helvetica"/>
                <w:shd w:val="clear" w:color="auto" w:fill="FFFFFF"/>
              </w:rPr>
              <w:t> </w:t>
            </w:r>
            <w:r w:rsidRPr="007C7346">
              <w:rPr>
                <w:rFonts w:cs="Helvetica"/>
                <w:shd w:val="clear" w:color="auto" w:fill="FFFFFF"/>
              </w:rPr>
              <w:t>is giving employees a certain degree of autonomy and responsibility for decision-making regarding their specific organizational tasks. It allows decisions to be made at the lower levels of an organization where employees have a unique view of the issues and problems facing the organization at a certain level</w:t>
            </w:r>
            <w:r w:rsidRPr="007C7346">
              <w:rPr>
                <w:rFonts w:cs="Helvetica"/>
                <w:color w:val="555555"/>
                <w:shd w:val="clear" w:color="auto" w:fill="FFFFFF"/>
              </w:rPr>
              <w:t>.</w:t>
            </w:r>
          </w:p>
          <w:p w:rsidR="004F3F05" w:rsidRPr="007C7346" w:rsidRDefault="004F3F05" w:rsidP="00561089">
            <w:pPr>
              <w:autoSpaceDE w:val="0"/>
              <w:autoSpaceDN w:val="0"/>
              <w:adjustRightInd w:val="0"/>
            </w:pPr>
          </w:p>
          <w:p w:rsidR="007C7346" w:rsidRDefault="007C7346" w:rsidP="00561089">
            <w:pPr>
              <w:autoSpaceDE w:val="0"/>
              <w:autoSpaceDN w:val="0"/>
              <w:adjustRightInd w:val="0"/>
            </w:pPr>
            <w:r>
              <w:t xml:space="preserve"> II. Why should organizations empower their employees? </w:t>
            </w:r>
          </w:p>
          <w:p w:rsidR="007C7346" w:rsidRDefault="004F3F05" w:rsidP="00561089">
            <w:pPr>
              <w:autoSpaceDE w:val="0"/>
              <w:autoSpaceDN w:val="0"/>
              <w:adjustRightInd w:val="0"/>
            </w:pPr>
            <w:r>
              <w:t xml:space="preserve">‘Empowered </w:t>
            </w:r>
            <w:proofErr w:type="gramStart"/>
            <w:r>
              <w:t>staff are</w:t>
            </w:r>
            <w:proofErr w:type="gramEnd"/>
            <w:r>
              <w:t xml:space="preserve"> happy staff.’ Surveys reveal that people are happiest at work when they feel valued and important, when they are involved in the business and when they feel knowledgeable about what is happening.</w:t>
            </w:r>
          </w:p>
          <w:p w:rsidR="004F3F05" w:rsidRDefault="004F3F05" w:rsidP="00561089">
            <w:pPr>
              <w:autoSpaceDE w:val="0"/>
              <w:autoSpaceDN w:val="0"/>
              <w:adjustRightInd w:val="0"/>
            </w:pPr>
            <w:proofErr w:type="spellStart"/>
            <w:r>
              <w:t>Organisations</w:t>
            </w:r>
            <w:proofErr w:type="spellEnd"/>
            <w:r>
              <w:t xml:space="preserve"> where employees are empowered and take ownership of service quality are more likely to deliver excellent service to their customers. Therefore, in order to gain true competitive advantage through effective customer service it is vital that customer-facing </w:t>
            </w:r>
            <w:proofErr w:type="gramStart"/>
            <w:r>
              <w:t>staff are</w:t>
            </w:r>
            <w:proofErr w:type="gramEnd"/>
            <w:r>
              <w:t xml:space="preserve"> empowered properly. Each individual has to know that the part they are playing is important and has a knock-on effect for the entire organization.</w:t>
            </w:r>
          </w:p>
          <w:p w:rsidR="004F3F05" w:rsidRDefault="004F3F05" w:rsidP="00561089">
            <w:pPr>
              <w:autoSpaceDE w:val="0"/>
              <w:autoSpaceDN w:val="0"/>
              <w:adjustRightInd w:val="0"/>
            </w:pPr>
          </w:p>
          <w:p w:rsidR="007C7346" w:rsidRDefault="007C7346" w:rsidP="00561089">
            <w:pPr>
              <w:autoSpaceDE w:val="0"/>
              <w:autoSpaceDN w:val="0"/>
              <w:adjustRightInd w:val="0"/>
            </w:pPr>
            <w:r>
              <w:t xml:space="preserve">III. What are the different levels of empowerment? </w:t>
            </w:r>
          </w:p>
          <w:p w:rsidR="00525857" w:rsidRDefault="00525857" w:rsidP="00561089">
            <w:pPr>
              <w:autoSpaceDE w:val="0"/>
              <w:autoSpaceDN w:val="0"/>
              <w:adjustRightInd w:val="0"/>
            </w:pPr>
          </w:p>
          <w:p w:rsidR="004F3F05" w:rsidRDefault="004F3F05" w:rsidP="00561089">
            <w:pPr>
              <w:autoSpaceDE w:val="0"/>
              <w:autoSpaceDN w:val="0"/>
              <w:adjustRightInd w:val="0"/>
            </w:pPr>
            <w:r>
              <w:t xml:space="preserve">Level 1- Employees are encouraged to own decisions and get involved in improvement initiatives. However, the manager takes overall control. There are many examples of </w:t>
            </w:r>
            <w:proofErr w:type="spellStart"/>
            <w:r>
              <w:t>organisations</w:t>
            </w:r>
            <w:proofErr w:type="spellEnd"/>
            <w:r>
              <w:t xml:space="preserve"> which involve employees in a service strategy. However, at this level, members of staff still have to put ideas for improvement forward to their manager for approval or they can make decisions within certain areas.</w:t>
            </w:r>
          </w:p>
          <w:p w:rsidR="004F3F05" w:rsidRDefault="004F3F05" w:rsidP="00561089">
            <w:pPr>
              <w:autoSpaceDE w:val="0"/>
              <w:autoSpaceDN w:val="0"/>
              <w:adjustRightInd w:val="0"/>
            </w:pPr>
          </w:p>
          <w:p w:rsidR="004F3F05" w:rsidRDefault="004F3F05" w:rsidP="00561089">
            <w:pPr>
              <w:autoSpaceDE w:val="0"/>
              <w:autoSpaceDN w:val="0"/>
              <w:adjustRightInd w:val="0"/>
            </w:pPr>
            <w:r>
              <w:t xml:space="preserve"> Level 2 -Teams and individuals have more say and take ownership of decisions affecting their work but strategic decisions are still made by management  This middle level of empowerment is where teams and individuals have more say and take ownership of decisions affecting their work, but strategic decisions are still made by management.</w:t>
            </w:r>
          </w:p>
          <w:p w:rsidR="004F3F05" w:rsidRDefault="004F3F05" w:rsidP="00561089">
            <w:pPr>
              <w:autoSpaceDE w:val="0"/>
              <w:autoSpaceDN w:val="0"/>
              <w:adjustRightInd w:val="0"/>
            </w:pPr>
          </w:p>
          <w:p w:rsidR="004F3F05" w:rsidRDefault="004F3F05" w:rsidP="00561089">
            <w:pPr>
              <w:autoSpaceDE w:val="0"/>
              <w:autoSpaceDN w:val="0"/>
              <w:adjustRightInd w:val="0"/>
            </w:pPr>
            <w:r>
              <w:t>Level 3 – Teams are completely self-managing and make all decisions about not only how they operate in terms of task but also structure and reward.</w:t>
            </w:r>
          </w:p>
          <w:p w:rsidR="004F3F05" w:rsidRDefault="004F3F05" w:rsidP="00561089">
            <w:pPr>
              <w:autoSpaceDE w:val="0"/>
              <w:autoSpaceDN w:val="0"/>
              <w:adjustRightInd w:val="0"/>
            </w:pPr>
          </w:p>
          <w:p w:rsidR="001A5FC5" w:rsidRDefault="001A5FC5" w:rsidP="00561089">
            <w:pPr>
              <w:autoSpaceDE w:val="0"/>
              <w:autoSpaceDN w:val="0"/>
              <w:adjustRightInd w:val="0"/>
            </w:pPr>
          </w:p>
          <w:p w:rsidR="001A5FC5" w:rsidRDefault="001A5FC5" w:rsidP="00561089">
            <w:pPr>
              <w:autoSpaceDE w:val="0"/>
              <w:autoSpaceDN w:val="0"/>
              <w:adjustRightInd w:val="0"/>
            </w:pPr>
          </w:p>
          <w:p w:rsidR="007C7346" w:rsidRDefault="007C7346" w:rsidP="00561089">
            <w:pPr>
              <w:autoSpaceDE w:val="0"/>
              <w:autoSpaceDN w:val="0"/>
              <w:adjustRightInd w:val="0"/>
            </w:pPr>
            <w:r>
              <w:t xml:space="preserve">IV. How does empowerment impact the customer retention? </w:t>
            </w:r>
          </w:p>
          <w:p w:rsidR="001A5FC5" w:rsidRPr="001A5FC5" w:rsidRDefault="001A5FC5" w:rsidP="001A5FC5">
            <w:pPr>
              <w:pStyle w:val="NormalWeb"/>
              <w:shd w:val="clear" w:color="auto" w:fill="FFFFFF"/>
              <w:spacing w:before="0" w:beforeAutospacing="0" w:after="187" w:afterAutospacing="0" w:line="262" w:lineRule="atLeast"/>
              <w:textAlignment w:val="baseline"/>
              <w:rPr>
                <w:rFonts w:asciiTheme="minorHAnsi" w:hAnsiTheme="minorHAnsi"/>
                <w:sz w:val="22"/>
                <w:szCs w:val="22"/>
              </w:rPr>
            </w:pPr>
            <w:r>
              <w:rPr>
                <w:rFonts w:asciiTheme="minorHAnsi" w:hAnsiTheme="minorHAnsi"/>
                <w:sz w:val="22"/>
                <w:szCs w:val="22"/>
              </w:rPr>
              <w:t>When an employee is empowered</w:t>
            </w:r>
            <w:r w:rsidRPr="001A5FC5">
              <w:rPr>
                <w:rFonts w:asciiTheme="minorHAnsi" w:hAnsiTheme="minorHAnsi"/>
                <w:sz w:val="22"/>
                <w:szCs w:val="22"/>
              </w:rPr>
              <w:t>, they are very much your biggest brand advocates. They preach the benefits of your products and are enthusiastic in dealing with the public. These employees want the organization to be successful, not just themselves</w:t>
            </w:r>
            <w:r w:rsidRPr="00811E14">
              <w:rPr>
                <w:rFonts w:asciiTheme="minorHAnsi" w:hAnsiTheme="minorHAnsi"/>
                <w:sz w:val="22"/>
                <w:szCs w:val="22"/>
              </w:rPr>
              <w:t xml:space="preserve">. </w:t>
            </w:r>
            <w:r w:rsidR="00811E14" w:rsidRPr="00811E14">
              <w:rPr>
                <w:rFonts w:asciiTheme="minorHAnsi" w:hAnsiTheme="minorHAnsi"/>
                <w:sz w:val="22"/>
                <w:szCs w:val="22"/>
              </w:rPr>
              <w:t xml:space="preserve">Customers coming face-to-face with an empowered member of staff know that they have come face-to-face with an empowered member of staff. The impression this creates for the customer is one of total comfort. If your customers feel comfortable in the presence of people from your </w:t>
            </w:r>
            <w:proofErr w:type="spellStart"/>
            <w:r w:rsidR="00811E14" w:rsidRPr="00811E14">
              <w:rPr>
                <w:rFonts w:asciiTheme="minorHAnsi" w:hAnsiTheme="minorHAnsi"/>
                <w:sz w:val="22"/>
                <w:szCs w:val="22"/>
              </w:rPr>
              <w:t>organisation</w:t>
            </w:r>
            <w:proofErr w:type="spellEnd"/>
            <w:r w:rsidR="00811E14" w:rsidRPr="00811E14">
              <w:rPr>
                <w:rFonts w:asciiTheme="minorHAnsi" w:hAnsiTheme="minorHAnsi"/>
                <w:sz w:val="22"/>
                <w:szCs w:val="22"/>
              </w:rPr>
              <w:t xml:space="preserve"> then they are likely to remain loyal</w:t>
            </w:r>
            <w:r w:rsidR="00811E14">
              <w:t>.</w:t>
            </w:r>
            <w:r w:rsidR="00811E14" w:rsidRPr="001A5FC5">
              <w:rPr>
                <w:rFonts w:asciiTheme="minorHAnsi" w:hAnsiTheme="minorHAnsi"/>
                <w:sz w:val="22"/>
                <w:szCs w:val="22"/>
              </w:rPr>
              <w:t xml:space="preserve"> </w:t>
            </w:r>
            <w:r w:rsidRPr="001A5FC5">
              <w:rPr>
                <w:rFonts w:asciiTheme="minorHAnsi" w:hAnsiTheme="minorHAnsi"/>
                <w:sz w:val="22"/>
                <w:szCs w:val="22"/>
              </w:rPr>
              <w:t xml:space="preserve">Your </w:t>
            </w:r>
            <w:proofErr w:type="gramStart"/>
            <w:r w:rsidRPr="001A5FC5">
              <w:rPr>
                <w:rFonts w:asciiTheme="minorHAnsi" w:hAnsiTheme="minorHAnsi"/>
                <w:sz w:val="22"/>
                <w:szCs w:val="22"/>
              </w:rPr>
              <w:t>customers</w:t>
            </w:r>
            <w:proofErr w:type="gramEnd"/>
            <w:r w:rsidRPr="001A5FC5">
              <w:rPr>
                <w:rFonts w:asciiTheme="minorHAnsi" w:hAnsiTheme="minorHAnsi"/>
                <w:sz w:val="22"/>
                <w:szCs w:val="22"/>
              </w:rPr>
              <w:t xml:space="preserve"> first point of interaction with your organization is often through your employees. This first interaction is often make-or-break for first time customers, if you fail to make a good impression they may leave and never return.</w:t>
            </w:r>
          </w:p>
          <w:p w:rsidR="001A5FC5" w:rsidRPr="001A5FC5" w:rsidRDefault="001A5FC5" w:rsidP="001A5FC5">
            <w:pPr>
              <w:pStyle w:val="NormalWeb"/>
              <w:shd w:val="clear" w:color="auto" w:fill="FFFFFF"/>
              <w:spacing w:before="0" w:beforeAutospacing="0" w:after="0" w:afterAutospacing="0" w:line="262" w:lineRule="atLeast"/>
              <w:textAlignment w:val="baseline"/>
              <w:rPr>
                <w:rFonts w:asciiTheme="minorHAnsi" w:hAnsiTheme="minorHAnsi"/>
                <w:sz w:val="22"/>
                <w:szCs w:val="22"/>
              </w:rPr>
            </w:pPr>
            <w:r w:rsidRPr="001A5FC5">
              <w:rPr>
                <w:rFonts w:asciiTheme="minorHAnsi" w:hAnsiTheme="minorHAnsi"/>
                <w:sz w:val="22"/>
                <w:szCs w:val="22"/>
              </w:rPr>
              <w:t>High engagement among your employees improves morale, reduces turnover, and improves profitability. In fact, according to research from a </w:t>
            </w:r>
            <w:hyperlink r:id="rId9" w:tgtFrame="_blank" w:history="1">
              <w:r w:rsidRPr="001A5FC5">
                <w:rPr>
                  <w:rStyle w:val="Hyperlink"/>
                  <w:rFonts w:asciiTheme="minorHAnsi" w:hAnsiTheme="minorHAnsi"/>
                  <w:color w:val="auto"/>
                  <w:sz w:val="22"/>
                  <w:szCs w:val="22"/>
                </w:rPr>
                <w:t>Hay Group</w:t>
              </w:r>
            </w:hyperlink>
            <w:r w:rsidRPr="001A5FC5">
              <w:rPr>
                <w:rFonts w:asciiTheme="minorHAnsi" w:hAnsiTheme="minorHAnsi"/>
                <w:sz w:val="22"/>
                <w:szCs w:val="22"/>
              </w:rPr>
              <w:t> study, companies with highly engaged workers grew revenues two and a half times as much as those with low engagement levels. Contrasting this with disengaged employees, </w:t>
            </w:r>
            <w:hyperlink r:id="rId10" w:tgtFrame="_blank" w:history="1">
              <w:r w:rsidRPr="001A5FC5">
                <w:rPr>
                  <w:rStyle w:val="Hyperlink"/>
                  <w:rFonts w:asciiTheme="minorHAnsi" w:hAnsiTheme="minorHAnsi"/>
                  <w:color w:val="auto"/>
                  <w:sz w:val="22"/>
                  <w:szCs w:val="22"/>
                </w:rPr>
                <w:t>Gallup</w:t>
              </w:r>
            </w:hyperlink>
            <w:r w:rsidRPr="001A5FC5">
              <w:rPr>
                <w:rFonts w:asciiTheme="minorHAnsi" w:hAnsiTheme="minorHAnsi"/>
                <w:sz w:val="22"/>
                <w:szCs w:val="22"/>
              </w:rPr>
              <w:t> found that actively disengaged employees erode an organization’s bottom line, while breaking the spirits of colleagues in the process. Within the U.S. workforce, Gallup estimates this cost to the bottom line to be more than</w:t>
            </w:r>
            <w:r w:rsidRPr="001A5FC5">
              <w:rPr>
                <w:rStyle w:val="apple-converted-space"/>
                <w:rFonts w:asciiTheme="minorHAnsi" w:hAnsiTheme="minorHAnsi"/>
                <w:sz w:val="22"/>
                <w:szCs w:val="22"/>
              </w:rPr>
              <w:t> </w:t>
            </w:r>
            <w:r w:rsidRPr="001A5FC5">
              <w:rPr>
                <w:rStyle w:val="Strong"/>
                <w:rFonts w:asciiTheme="minorHAnsi" w:hAnsiTheme="minorHAnsi"/>
                <w:sz w:val="22"/>
                <w:szCs w:val="22"/>
                <w:bdr w:val="none" w:sz="0" w:space="0" w:color="auto" w:frame="1"/>
              </w:rPr>
              <w:t>$300 billion in lost productivity alone</w:t>
            </w:r>
            <w:r w:rsidRPr="001A5FC5">
              <w:rPr>
                <w:rFonts w:asciiTheme="minorHAnsi" w:hAnsiTheme="minorHAnsi"/>
                <w:sz w:val="22"/>
                <w:szCs w:val="22"/>
              </w:rPr>
              <w:t>.</w:t>
            </w:r>
          </w:p>
          <w:p w:rsidR="001A5FC5" w:rsidRPr="001A5FC5" w:rsidRDefault="001A5FC5" w:rsidP="001A5FC5">
            <w:pPr>
              <w:pStyle w:val="NormalWeb"/>
              <w:shd w:val="clear" w:color="auto" w:fill="FFFFFF"/>
              <w:spacing w:before="0" w:beforeAutospacing="0" w:after="0" w:afterAutospacing="0" w:line="262" w:lineRule="atLeast"/>
              <w:textAlignment w:val="baseline"/>
              <w:rPr>
                <w:rFonts w:asciiTheme="minorHAnsi" w:hAnsiTheme="minorHAnsi"/>
                <w:sz w:val="22"/>
                <w:szCs w:val="22"/>
              </w:rPr>
            </w:pPr>
            <w:r w:rsidRPr="001A5FC5">
              <w:rPr>
                <w:rFonts w:asciiTheme="minorHAnsi" w:hAnsiTheme="minorHAnsi"/>
                <w:sz w:val="22"/>
                <w:szCs w:val="22"/>
              </w:rPr>
              <w:t>Not only this, but it betters customer experience and leads to improved customer loyalty. Studies have found that</w:t>
            </w:r>
            <w:r w:rsidRPr="001A5FC5">
              <w:rPr>
                <w:rStyle w:val="apple-converted-space"/>
                <w:rFonts w:asciiTheme="minorHAnsi" w:hAnsiTheme="minorHAnsi"/>
                <w:sz w:val="22"/>
                <w:szCs w:val="22"/>
              </w:rPr>
              <w:t> </w:t>
            </w:r>
            <w:r w:rsidRPr="001A5FC5">
              <w:rPr>
                <w:rStyle w:val="Strong"/>
                <w:rFonts w:asciiTheme="minorHAnsi" w:hAnsiTheme="minorHAnsi"/>
                <w:sz w:val="22"/>
                <w:szCs w:val="22"/>
                <w:bdr w:val="none" w:sz="0" w:space="0" w:color="auto" w:frame="1"/>
              </w:rPr>
              <w:t>companies with high employee engagement scores had twice the customer loyalty</w:t>
            </w:r>
            <w:r w:rsidRPr="001A5FC5">
              <w:rPr>
                <w:rStyle w:val="apple-converted-space"/>
                <w:rFonts w:asciiTheme="minorHAnsi" w:hAnsiTheme="minorHAnsi"/>
                <w:sz w:val="22"/>
                <w:szCs w:val="22"/>
              </w:rPr>
              <w:t> </w:t>
            </w:r>
            <w:r w:rsidRPr="001A5FC5">
              <w:rPr>
                <w:rFonts w:asciiTheme="minorHAnsi" w:hAnsiTheme="minorHAnsi"/>
                <w:sz w:val="22"/>
                <w:szCs w:val="22"/>
              </w:rPr>
              <w:t>(repeat purchases, recommendations to friends) than companies with average employee engagement levels</w:t>
            </w:r>
            <w:r>
              <w:rPr>
                <w:rFonts w:asciiTheme="minorHAnsi" w:hAnsiTheme="minorHAnsi"/>
                <w:sz w:val="22"/>
                <w:szCs w:val="22"/>
              </w:rPr>
              <w:t>.</w:t>
            </w:r>
          </w:p>
          <w:p w:rsidR="001A5FC5" w:rsidRDefault="001A5FC5" w:rsidP="00561089">
            <w:pPr>
              <w:autoSpaceDE w:val="0"/>
              <w:autoSpaceDN w:val="0"/>
              <w:adjustRightInd w:val="0"/>
            </w:pPr>
          </w:p>
          <w:p w:rsidR="007C7346" w:rsidRDefault="007C7346" w:rsidP="00561089">
            <w:pPr>
              <w:autoSpaceDE w:val="0"/>
              <w:autoSpaceDN w:val="0"/>
              <w:adjustRightInd w:val="0"/>
            </w:pPr>
            <w:r>
              <w:t xml:space="preserve">V. Explain the term ‘an extra mile ‘in terms of employee’s empowerment. </w:t>
            </w:r>
          </w:p>
          <w:p w:rsidR="001A5FC5" w:rsidRDefault="001A5FC5" w:rsidP="00561089">
            <w:pPr>
              <w:autoSpaceDE w:val="0"/>
              <w:autoSpaceDN w:val="0"/>
              <w:adjustRightInd w:val="0"/>
            </w:pPr>
          </w:p>
          <w:p w:rsidR="001A5FC5" w:rsidRDefault="001A5FC5" w:rsidP="00561089">
            <w:pPr>
              <w:autoSpaceDE w:val="0"/>
              <w:autoSpaceDN w:val="0"/>
              <w:adjustRightInd w:val="0"/>
            </w:pPr>
            <w:r>
              <w:t xml:space="preserve">Excellent customer service really shouldn’t have a boundary. The reality, however, is that boundaries are needed across an </w:t>
            </w:r>
            <w:proofErr w:type="spellStart"/>
            <w:r>
              <w:t>organisation</w:t>
            </w:r>
            <w:proofErr w:type="spellEnd"/>
            <w:r>
              <w:t xml:space="preserve">, as has already been discussed. Defining how long the ‘extra mile’ should be will almost work in inverse proportion to the size of an </w:t>
            </w:r>
            <w:proofErr w:type="spellStart"/>
            <w:r>
              <w:t>organisation</w:t>
            </w:r>
            <w:proofErr w:type="spellEnd"/>
            <w:r>
              <w:t xml:space="preserve">; therefore, the bigger the </w:t>
            </w:r>
            <w:proofErr w:type="spellStart"/>
            <w:r>
              <w:t>organisation</w:t>
            </w:r>
            <w:proofErr w:type="spellEnd"/>
            <w:r>
              <w:t xml:space="preserve"> the shorter that ‘extra mile’ often is. Conversely, if the </w:t>
            </w:r>
            <w:proofErr w:type="spellStart"/>
            <w:r>
              <w:t>organisation</w:t>
            </w:r>
            <w:proofErr w:type="spellEnd"/>
            <w:r>
              <w:t xml:space="preserve"> is small, that ‘extra mile’ can really extend for a very, very long way. Much of the reason for this is trust. In a small </w:t>
            </w:r>
            <w:proofErr w:type="spellStart"/>
            <w:r>
              <w:t>organisation</w:t>
            </w:r>
            <w:proofErr w:type="spellEnd"/>
            <w:r>
              <w:t xml:space="preserve"> with a manageable workforce, trust from management is easily gained. Managers will know which, if any, of its staff are likely to abuse the system in any way. They will also know those most prone to offering excellent customer service and also have a belief in them in terms of their </w:t>
            </w:r>
            <w:proofErr w:type="spellStart"/>
            <w:r>
              <w:t>behaviour</w:t>
            </w:r>
            <w:proofErr w:type="spellEnd"/>
            <w:r>
              <w:t xml:space="preserve">. A large </w:t>
            </w:r>
            <w:proofErr w:type="spellStart"/>
            <w:r>
              <w:t>organisation</w:t>
            </w:r>
            <w:proofErr w:type="spellEnd"/>
            <w:r>
              <w:t xml:space="preserve"> has the difficulty of personalities and individuals who have differing service expectations and therefore differing service offerings</w:t>
            </w:r>
          </w:p>
          <w:p w:rsidR="001A5FC5" w:rsidRDefault="001A5FC5" w:rsidP="00561089">
            <w:pPr>
              <w:autoSpaceDE w:val="0"/>
              <w:autoSpaceDN w:val="0"/>
              <w:adjustRightInd w:val="0"/>
            </w:pPr>
          </w:p>
          <w:p w:rsidR="007C7346" w:rsidRDefault="007C7346" w:rsidP="00561089">
            <w:pPr>
              <w:autoSpaceDE w:val="0"/>
              <w:autoSpaceDN w:val="0"/>
              <w:adjustRightInd w:val="0"/>
            </w:pPr>
            <w:r>
              <w:t xml:space="preserve">VI. Why do </w:t>
            </w:r>
            <w:proofErr w:type="spellStart"/>
            <w:r>
              <w:t>organisations</w:t>
            </w:r>
            <w:proofErr w:type="spellEnd"/>
            <w:r>
              <w:t xml:space="preserve"> develop discretionary awards?</w:t>
            </w:r>
          </w:p>
          <w:p w:rsidR="00756063" w:rsidRDefault="00756063" w:rsidP="00561089">
            <w:pPr>
              <w:autoSpaceDE w:val="0"/>
              <w:autoSpaceDN w:val="0"/>
              <w:adjustRightInd w:val="0"/>
            </w:pPr>
          </w:p>
          <w:p w:rsidR="00756063" w:rsidRDefault="00756063" w:rsidP="00561089">
            <w:pPr>
              <w:autoSpaceDE w:val="0"/>
              <w:autoSpaceDN w:val="0"/>
              <w:adjustRightInd w:val="0"/>
            </w:pPr>
            <w:r>
              <w:t>Service without sincerity is rarely excellent customer service. In many ways the whole process is a psychological trade-off between the customer and the service provider</w:t>
            </w:r>
          </w:p>
          <w:p w:rsidR="00756063" w:rsidRDefault="00756063" w:rsidP="00561089">
            <w:pPr>
              <w:autoSpaceDE w:val="0"/>
              <w:autoSpaceDN w:val="0"/>
              <w:adjustRightInd w:val="0"/>
            </w:pPr>
            <w:r>
              <w:t xml:space="preserve">The benefits to the </w:t>
            </w:r>
            <w:proofErr w:type="spellStart"/>
            <w:r>
              <w:t>organisation</w:t>
            </w:r>
            <w:proofErr w:type="spellEnd"/>
            <w:r>
              <w:t xml:space="preserve"> of an award system is that the recipient of the award experiences best practice and will bring that knowledge back into your </w:t>
            </w:r>
            <w:proofErr w:type="spellStart"/>
            <w:r>
              <w:t>organisation</w:t>
            </w:r>
            <w:proofErr w:type="spellEnd"/>
            <w:r>
              <w:t>, foster those experiences, and hopefully implement them as part of daily practice.</w:t>
            </w:r>
          </w:p>
          <w:p w:rsidR="00756063" w:rsidRDefault="00756063" w:rsidP="00561089">
            <w:pPr>
              <w:autoSpaceDE w:val="0"/>
              <w:autoSpaceDN w:val="0"/>
              <w:adjustRightInd w:val="0"/>
            </w:pPr>
            <w:r>
              <w:t xml:space="preserve">Most staff will appreciate adding their certificates to their portfolio, especially as at this stage of development you have not necessarily fostered loyalty from those staff. The very fact that you are issuing these various incremental awards and taking this ‘excellence’ stance will encourage your employees to remain loyal to your </w:t>
            </w:r>
            <w:r w:rsidR="00811E14">
              <w:t>organization.</w:t>
            </w:r>
          </w:p>
          <w:p w:rsidR="001A5FC5" w:rsidRDefault="001A5FC5" w:rsidP="00561089">
            <w:pPr>
              <w:autoSpaceDE w:val="0"/>
              <w:autoSpaceDN w:val="0"/>
              <w:adjustRightInd w:val="0"/>
            </w:pPr>
          </w:p>
          <w:p w:rsidR="006D355A" w:rsidRDefault="007C7346" w:rsidP="00561089">
            <w:pPr>
              <w:autoSpaceDE w:val="0"/>
              <w:autoSpaceDN w:val="0"/>
              <w:adjustRightInd w:val="0"/>
            </w:pPr>
            <w:r>
              <w:t xml:space="preserve"> </w:t>
            </w:r>
          </w:p>
          <w:p w:rsidR="006D355A" w:rsidRDefault="006D355A" w:rsidP="00561089">
            <w:pPr>
              <w:autoSpaceDE w:val="0"/>
              <w:autoSpaceDN w:val="0"/>
              <w:adjustRightInd w:val="0"/>
            </w:pPr>
          </w:p>
          <w:p w:rsidR="006D355A" w:rsidRDefault="006D355A" w:rsidP="00561089">
            <w:pPr>
              <w:autoSpaceDE w:val="0"/>
              <w:autoSpaceDN w:val="0"/>
              <w:adjustRightInd w:val="0"/>
            </w:pPr>
          </w:p>
          <w:p w:rsidR="006D355A" w:rsidRDefault="006D355A" w:rsidP="00561089">
            <w:pPr>
              <w:autoSpaceDE w:val="0"/>
              <w:autoSpaceDN w:val="0"/>
              <w:adjustRightInd w:val="0"/>
            </w:pPr>
          </w:p>
          <w:p w:rsidR="001E7CD8" w:rsidRDefault="007C7346" w:rsidP="00561089">
            <w:pPr>
              <w:autoSpaceDE w:val="0"/>
              <w:autoSpaceDN w:val="0"/>
              <w:adjustRightInd w:val="0"/>
            </w:pPr>
            <w:r>
              <w:t xml:space="preserve">2. How can employees be empowered at different levels? </w:t>
            </w:r>
          </w:p>
          <w:p w:rsidR="006D355A" w:rsidRDefault="006D355A" w:rsidP="00561089">
            <w:pPr>
              <w:autoSpaceDE w:val="0"/>
              <w:autoSpaceDN w:val="0"/>
              <w:adjustRightInd w:val="0"/>
            </w:pPr>
          </w:p>
          <w:p w:rsidR="006D355A" w:rsidRDefault="006D355A" w:rsidP="00561089">
            <w:pPr>
              <w:autoSpaceDE w:val="0"/>
              <w:autoSpaceDN w:val="0"/>
              <w:adjustRightInd w:val="0"/>
              <w:rPr>
                <w:rFonts w:cs="Arial"/>
                <w:color w:val="000000"/>
                <w:shd w:val="clear" w:color="auto" w:fill="FFFFFF"/>
              </w:rPr>
            </w:pPr>
            <w:r w:rsidRPr="006D355A">
              <w:rPr>
                <w:rFonts w:cs="Arial"/>
                <w:color w:val="000000"/>
                <w:shd w:val="clear" w:color="auto" w:fill="FFFFFF"/>
              </w:rPr>
              <w:t>Effective empowerment requires an open dialogue between the manager and the employee. It entails identifying all of the tasks and responsibilities the employee is expected to perform. Once the full extent of the tasks are determined, the manager and employee discuss which of these tasks they mutually agree the employee can perform independently, and which tasks require the involvement of the manager before action is taken. They discuss the employee's willingness and readiness to be held accountable for the decisions he or she makes and the actions one will take in those areas where one has the authority to do so</w:t>
            </w:r>
            <w:r>
              <w:rPr>
                <w:rFonts w:cs="Arial"/>
                <w:color w:val="000000"/>
                <w:shd w:val="clear" w:color="auto" w:fill="FFFFFF"/>
              </w:rPr>
              <w:t>.</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During this discussion the empowerment of the employee is clearly spelled out in what I refer to as the</w:t>
            </w:r>
            <w:r w:rsidRPr="00525857">
              <w:rPr>
                <w:rStyle w:val="apple-converted-space"/>
                <w:rFonts w:asciiTheme="minorHAnsi" w:hAnsiTheme="minorHAnsi" w:cs="Arial"/>
                <w:color w:val="000000"/>
                <w:sz w:val="22"/>
                <w:szCs w:val="22"/>
              </w:rPr>
              <w:t> </w:t>
            </w:r>
            <w:r w:rsidRPr="00525857">
              <w:rPr>
                <w:rStyle w:val="bodycopyitalics"/>
                <w:rFonts w:asciiTheme="minorHAnsi" w:hAnsiTheme="minorHAnsi" w:cs="Arial"/>
                <w:i/>
                <w:iCs/>
                <w:color w:val="000000"/>
                <w:sz w:val="22"/>
                <w:szCs w:val="22"/>
              </w:rPr>
              <w:t>black zone</w:t>
            </w:r>
            <w:r w:rsidRPr="00525857">
              <w:rPr>
                <w:rFonts w:asciiTheme="minorHAnsi" w:hAnsiTheme="minorHAnsi" w:cs="Arial"/>
                <w:color w:val="000000"/>
                <w:sz w:val="22"/>
                <w:szCs w:val="22"/>
              </w:rPr>
              <w:t>,</w:t>
            </w:r>
            <w:r w:rsidRPr="00525857">
              <w:rPr>
                <w:rStyle w:val="apple-converted-space"/>
                <w:rFonts w:asciiTheme="minorHAnsi" w:hAnsiTheme="minorHAnsi" w:cs="Arial"/>
                <w:color w:val="000000"/>
                <w:sz w:val="22"/>
                <w:szCs w:val="22"/>
              </w:rPr>
              <w:t> </w:t>
            </w:r>
            <w:r w:rsidRPr="00525857">
              <w:rPr>
                <w:rStyle w:val="bodycopyitalics"/>
                <w:rFonts w:asciiTheme="minorHAnsi" w:hAnsiTheme="minorHAnsi" w:cs="Arial"/>
                <w:i/>
                <w:iCs/>
                <w:color w:val="000000"/>
                <w:sz w:val="22"/>
                <w:szCs w:val="22"/>
              </w:rPr>
              <w:t>green zone</w:t>
            </w:r>
            <w:r w:rsidRPr="00525857">
              <w:rPr>
                <w:rFonts w:asciiTheme="minorHAnsi" w:hAnsiTheme="minorHAnsi" w:cs="Arial"/>
                <w:color w:val="000000"/>
                <w:sz w:val="22"/>
                <w:szCs w:val="22"/>
              </w:rPr>
              <w:t>, and</w:t>
            </w:r>
            <w:r w:rsidRPr="00525857">
              <w:rPr>
                <w:rStyle w:val="apple-converted-space"/>
                <w:rFonts w:asciiTheme="minorHAnsi" w:hAnsiTheme="minorHAnsi" w:cs="Arial"/>
                <w:color w:val="000000"/>
                <w:sz w:val="22"/>
                <w:szCs w:val="22"/>
              </w:rPr>
              <w:t> </w:t>
            </w:r>
            <w:r w:rsidRPr="00525857">
              <w:rPr>
                <w:rStyle w:val="bodycopyitalics"/>
                <w:rFonts w:asciiTheme="minorHAnsi" w:hAnsiTheme="minorHAnsi" w:cs="Arial"/>
                <w:i/>
                <w:iCs/>
                <w:color w:val="000000"/>
                <w:sz w:val="22"/>
                <w:szCs w:val="22"/>
              </w:rPr>
              <w:t>red zone</w:t>
            </w:r>
            <w:r w:rsidRPr="00525857">
              <w:rPr>
                <w:rStyle w:val="apple-converted-space"/>
                <w:rFonts w:asciiTheme="minorHAnsi" w:hAnsiTheme="minorHAnsi" w:cs="Arial"/>
                <w:color w:val="000000"/>
                <w:sz w:val="22"/>
                <w:szCs w:val="22"/>
              </w:rPr>
              <w:t> </w:t>
            </w:r>
            <w:r w:rsidRPr="00525857">
              <w:rPr>
                <w:rFonts w:asciiTheme="minorHAnsi" w:hAnsiTheme="minorHAnsi" w:cs="Arial"/>
                <w:color w:val="000000"/>
                <w:sz w:val="22"/>
                <w:szCs w:val="22"/>
              </w:rPr>
              <w:t>boundaries.</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The</w:t>
            </w:r>
            <w:r w:rsidRPr="00525857">
              <w:rPr>
                <w:rStyle w:val="apple-converted-space"/>
                <w:rFonts w:asciiTheme="minorHAnsi" w:hAnsiTheme="minorHAnsi" w:cs="Arial"/>
                <w:color w:val="000000"/>
                <w:sz w:val="22"/>
                <w:szCs w:val="22"/>
              </w:rPr>
              <w:t> </w:t>
            </w:r>
            <w:r w:rsidRPr="00525857">
              <w:rPr>
                <w:rStyle w:val="blueunderlined"/>
                <w:rFonts w:asciiTheme="minorHAnsi" w:hAnsiTheme="minorHAnsi" w:cs="Arial"/>
                <w:b/>
                <w:bCs/>
                <w:color w:val="003399"/>
                <w:sz w:val="22"/>
                <w:szCs w:val="22"/>
                <w:u w:val="single"/>
              </w:rPr>
              <w:t>Black Zone</w:t>
            </w:r>
            <w:r w:rsidRPr="00525857">
              <w:rPr>
                <w:rStyle w:val="apple-converted-space"/>
                <w:rFonts w:asciiTheme="minorHAnsi" w:hAnsiTheme="minorHAnsi" w:cs="Arial"/>
                <w:color w:val="000000"/>
                <w:sz w:val="22"/>
                <w:szCs w:val="22"/>
              </w:rPr>
              <w:t> </w:t>
            </w:r>
            <w:r w:rsidRPr="00525857">
              <w:rPr>
                <w:rFonts w:asciiTheme="minorHAnsi" w:hAnsiTheme="minorHAnsi" w:cs="Arial"/>
                <w:color w:val="000000"/>
                <w:sz w:val="22"/>
                <w:szCs w:val="22"/>
              </w:rPr>
              <w:t>is the sum of all tasks and responsibilities the employee is expected to carry out in his or her role. It is a literal list of all possible activities the employee may be required to perform in his or her job classification. It includes everything the employee is expected to do at work.</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The</w:t>
            </w:r>
            <w:r w:rsidRPr="00525857">
              <w:rPr>
                <w:rStyle w:val="apple-converted-space"/>
                <w:rFonts w:asciiTheme="minorHAnsi" w:hAnsiTheme="minorHAnsi" w:cs="Arial"/>
                <w:color w:val="000000"/>
                <w:sz w:val="22"/>
                <w:szCs w:val="22"/>
              </w:rPr>
              <w:t> </w:t>
            </w:r>
            <w:r w:rsidRPr="00525857">
              <w:rPr>
                <w:rStyle w:val="blueunderlined"/>
                <w:rFonts w:asciiTheme="minorHAnsi" w:hAnsiTheme="minorHAnsi" w:cs="Arial"/>
                <w:b/>
                <w:bCs/>
                <w:color w:val="003399"/>
                <w:sz w:val="22"/>
                <w:szCs w:val="22"/>
                <w:u w:val="single"/>
              </w:rPr>
              <w:t>Green Zone</w:t>
            </w:r>
            <w:r w:rsidRPr="00525857">
              <w:rPr>
                <w:rStyle w:val="apple-converted-space"/>
                <w:rFonts w:asciiTheme="minorHAnsi" w:hAnsiTheme="minorHAnsi" w:cs="Arial"/>
                <w:color w:val="000000"/>
                <w:sz w:val="22"/>
                <w:szCs w:val="22"/>
              </w:rPr>
              <w:t> </w:t>
            </w:r>
            <w:r w:rsidRPr="00525857">
              <w:rPr>
                <w:rFonts w:asciiTheme="minorHAnsi" w:hAnsiTheme="minorHAnsi" w:cs="Arial"/>
                <w:color w:val="000000"/>
                <w:sz w:val="22"/>
                <w:szCs w:val="22"/>
              </w:rPr>
              <w:t>entails those tasks and responsibilities on the list in which the employee is free to make decisions or to take independent action without seeking further guidance or approval from anyone else. Tasks and responsibilities placed in the green zone are those where the employee</w:t>
            </w:r>
            <w:r w:rsidRPr="00525857">
              <w:rPr>
                <w:rStyle w:val="apple-converted-space"/>
                <w:rFonts w:asciiTheme="minorHAnsi" w:hAnsiTheme="minorHAnsi" w:cs="Arial"/>
                <w:color w:val="000000"/>
                <w:sz w:val="22"/>
                <w:szCs w:val="22"/>
              </w:rPr>
              <w:t> </w:t>
            </w:r>
            <w:r w:rsidRPr="00525857">
              <w:rPr>
                <w:rStyle w:val="articleitalicunderline"/>
                <w:rFonts w:asciiTheme="minorHAnsi" w:hAnsiTheme="minorHAnsi" w:cs="Arial"/>
                <w:i/>
                <w:iCs/>
                <w:color w:val="000000"/>
                <w:sz w:val="22"/>
                <w:szCs w:val="22"/>
                <w:u w:val="single"/>
              </w:rPr>
              <w:t>has the authority</w:t>
            </w:r>
            <w:r w:rsidRPr="00525857">
              <w:rPr>
                <w:rStyle w:val="apple-converted-space"/>
                <w:rFonts w:asciiTheme="minorHAnsi" w:hAnsiTheme="minorHAnsi" w:cs="Arial"/>
                <w:color w:val="000000"/>
                <w:sz w:val="22"/>
                <w:szCs w:val="22"/>
              </w:rPr>
              <w:t> </w:t>
            </w:r>
            <w:r w:rsidRPr="00525857">
              <w:rPr>
                <w:rFonts w:asciiTheme="minorHAnsi" w:hAnsiTheme="minorHAnsi" w:cs="Arial"/>
                <w:color w:val="000000"/>
                <w:sz w:val="22"/>
                <w:szCs w:val="22"/>
              </w:rPr>
              <w:t>to take whatever action or to make whatever decision the employee deems appropriate. Green zone items require no additional approval from a manager. The employee merely keeps his or her manager apprised of the progress on green zone tasks.</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Green zone issues usually include those tasks where the manager has full confidence that the employee will fulfill his or her responsibilities correctly without further input from the manager. Typically these tasks are those where the manager trusts the judgment and decision making abilities of the employee and respects one's capacity to make the right choices. Consequently, the manager can support the employee's actions and decisions without having to be involved.</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The</w:t>
            </w:r>
            <w:r w:rsidRPr="00525857">
              <w:rPr>
                <w:rStyle w:val="apple-converted-space"/>
                <w:rFonts w:asciiTheme="minorHAnsi" w:hAnsiTheme="minorHAnsi" w:cs="Arial"/>
                <w:color w:val="000000"/>
                <w:sz w:val="22"/>
                <w:szCs w:val="22"/>
              </w:rPr>
              <w:t> </w:t>
            </w:r>
            <w:r w:rsidRPr="00525857">
              <w:rPr>
                <w:rStyle w:val="blueunderlined"/>
                <w:rFonts w:asciiTheme="minorHAnsi" w:hAnsiTheme="minorHAnsi" w:cs="Arial"/>
                <w:b/>
                <w:bCs/>
                <w:color w:val="003399"/>
                <w:sz w:val="22"/>
                <w:szCs w:val="22"/>
                <w:u w:val="single"/>
              </w:rPr>
              <w:t>Red Zone</w:t>
            </w:r>
            <w:r w:rsidRPr="00525857">
              <w:rPr>
                <w:rStyle w:val="apple-converted-space"/>
                <w:rFonts w:asciiTheme="minorHAnsi" w:hAnsiTheme="minorHAnsi" w:cs="Arial"/>
                <w:color w:val="000000"/>
                <w:sz w:val="22"/>
                <w:szCs w:val="22"/>
              </w:rPr>
              <w:t> </w:t>
            </w:r>
            <w:r w:rsidRPr="00525857">
              <w:rPr>
                <w:rFonts w:asciiTheme="minorHAnsi" w:hAnsiTheme="minorHAnsi" w:cs="Arial"/>
                <w:color w:val="000000"/>
                <w:sz w:val="22"/>
                <w:szCs w:val="22"/>
              </w:rPr>
              <w:t>identifies those tasks and responsibilities where the employee must seek input or approval from others before taking action or making a decision. Red zone items are those tasks where the employee does not have the authority to take independent action or to make independent decisions. The red zone shows where the employee</w:t>
            </w:r>
            <w:r w:rsidRPr="00525857">
              <w:rPr>
                <w:rStyle w:val="apple-converted-space"/>
                <w:rFonts w:asciiTheme="minorHAnsi" w:hAnsiTheme="minorHAnsi" w:cs="Arial"/>
                <w:color w:val="000000"/>
                <w:sz w:val="22"/>
                <w:szCs w:val="22"/>
              </w:rPr>
              <w:t> </w:t>
            </w:r>
            <w:r w:rsidRPr="00525857">
              <w:rPr>
                <w:rStyle w:val="articleitalicunderline"/>
                <w:rFonts w:asciiTheme="minorHAnsi" w:hAnsiTheme="minorHAnsi" w:cs="Arial"/>
                <w:i/>
                <w:iCs/>
                <w:color w:val="000000"/>
                <w:sz w:val="22"/>
                <w:szCs w:val="22"/>
                <w:u w:val="single"/>
              </w:rPr>
              <w:t>must get input or approval</w:t>
            </w:r>
            <w:r w:rsidRPr="00525857">
              <w:rPr>
                <w:rStyle w:val="apple-converted-space"/>
                <w:rFonts w:asciiTheme="minorHAnsi" w:hAnsiTheme="minorHAnsi" w:cs="Arial"/>
                <w:color w:val="000000"/>
                <w:sz w:val="22"/>
                <w:szCs w:val="22"/>
              </w:rPr>
              <w:t> </w:t>
            </w:r>
            <w:r w:rsidRPr="00525857">
              <w:rPr>
                <w:rFonts w:asciiTheme="minorHAnsi" w:hAnsiTheme="minorHAnsi" w:cs="Arial"/>
                <w:color w:val="000000"/>
                <w:sz w:val="22"/>
                <w:szCs w:val="22"/>
              </w:rPr>
              <w:t>before proceeding.</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 xml:space="preserve">Red zone items are those where the manager does not feel confident the employee will make the right choice or take the right action without input from the manager or others. The red zone is used when a manager does not feel the employee has the right skills, knowledge, ability or experience to take the correct action or make the right decision alone. These tasks are those where the manager may not trust the judgment or decision making ability of the employee, or where the risk is too high to leave the decision solely in the hands of the employee. The red zone also is used to identify those tasks where the manager wants to make sure the employee solicits the input and involvement from others before taking action. </w:t>
            </w:r>
            <w:proofErr w:type="spellStart"/>
            <w:r w:rsidRPr="00525857">
              <w:rPr>
                <w:rFonts w:asciiTheme="minorHAnsi" w:hAnsiTheme="minorHAnsi" w:cs="Arial"/>
                <w:color w:val="000000"/>
                <w:sz w:val="22"/>
                <w:szCs w:val="22"/>
              </w:rPr>
              <w:t>An</w:t>
            </w:r>
            <w:proofErr w:type="spellEnd"/>
            <w:r w:rsidRPr="00525857">
              <w:rPr>
                <w:rFonts w:asciiTheme="minorHAnsi" w:hAnsiTheme="minorHAnsi" w:cs="Arial"/>
                <w:color w:val="000000"/>
                <w:sz w:val="22"/>
                <w:szCs w:val="22"/>
              </w:rPr>
              <w:t xml:space="preserve"> IT employee, for example, may be fully competent to make independent decisions regarding what hardware or software to purchase, yet a manager may place such decisions in the red zone because he or she wants the employee to get input from end-users before proceeding.</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 xml:space="preserve">Although a manager's goal should be to enlarge the employee's green zone to the fullest extent possible, the employee will never be totally free of red zone items. Legal, regulatory and compliance </w:t>
            </w:r>
            <w:r w:rsidRPr="00525857">
              <w:rPr>
                <w:rFonts w:asciiTheme="minorHAnsi" w:hAnsiTheme="minorHAnsi" w:cs="Arial"/>
                <w:color w:val="000000"/>
                <w:sz w:val="22"/>
                <w:szCs w:val="22"/>
              </w:rPr>
              <w:lastRenderedPageBreak/>
              <w:t>requirements restrict an employee's actions. Additionally, a manager can never empower an employee beyond the manager's own empowerment. There will always be tasks, issues or responsibilities that are within the manager's own red zone, and therefore automatically become red zone items to the employees beneath that manager.</w:t>
            </w:r>
          </w:p>
          <w:p w:rsidR="006D355A" w:rsidRPr="00525857" w:rsidRDefault="006D355A" w:rsidP="006D355A">
            <w:pPr>
              <w:pStyle w:val="NormalWeb"/>
              <w:shd w:val="clear" w:color="auto" w:fill="FFFFFF"/>
              <w:rPr>
                <w:rFonts w:asciiTheme="minorHAnsi" w:hAnsiTheme="minorHAnsi" w:cs="Arial"/>
                <w:color w:val="000000"/>
                <w:sz w:val="22"/>
                <w:szCs w:val="22"/>
              </w:rPr>
            </w:pPr>
            <w:r w:rsidRPr="00525857">
              <w:rPr>
                <w:rFonts w:asciiTheme="minorHAnsi" w:hAnsiTheme="minorHAnsi" w:cs="Arial"/>
                <w:color w:val="000000"/>
                <w:sz w:val="22"/>
                <w:szCs w:val="22"/>
              </w:rPr>
              <w:t>Once the zones have been established the manager needs to respect the boundaries that have been set. If an employee comes to the manager requesting the supervisor's opinion on a green zone issue, the manager should not offer an opinion. This would violate the green zone. The green zone means the employee needs to think the issue through and make a decision using his or her own judgment. Less confident employees often come to managers on green zone issues seeking input before taking action. This is because they don't trust their own judgment. If the manager provides guidance on the issue, the employee will never learn to trust his or her own thinking. They will continue to seek input in the future, thereby shrinking the green zone.</w:t>
            </w:r>
          </w:p>
          <w:p w:rsidR="006D355A" w:rsidRPr="006D355A" w:rsidRDefault="006D355A" w:rsidP="00561089">
            <w:pPr>
              <w:autoSpaceDE w:val="0"/>
              <w:autoSpaceDN w:val="0"/>
              <w:adjustRightInd w:val="0"/>
            </w:pPr>
          </w:p>
          <w:p w:rsidR="001E7CD8" w:rsidRPr="00D47DCE" w:rsidRDefault="001E7CD8" w:rsidP="00561089">
            <w:pPr>
              <w:autoSpaceDE w:val="0"/>
              <w:autoSpaceDN w:val="0"/>
              <w:adjustRightInd w:val="0"/>
              <w:rPr>
                <w:rFonts w:cs="Calibri"/>
              </w:rPr>
            </w:pPr>
          </w:p>
          <w:p w:rsidR="004D780C" w:rsidRPr="005C1B68" w:rsidRDefault="004D780C" w:rsidP="00561089">
            <w:pPr>
              <w:tabs>
                <w:tab w:val="left" w:pos="505"/>
              </w:tabs>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5857" w:rsidP="00A851DA">
            <w:pPr>
              <w:rPr>
                <w:rFonts w:cs="Bliss-Regular"/>
                <w:color w:val="000000"/>
              </w:rPr>
            </w:pPr>
            <w:r>
              <w:rPr>
                <w:rFonts w:cs="Bliss-Regular"/>
                <w:color w:val="000000"/>
              </w:rPr>
              <w:t xml:space="preserve">Tapela </w:t>
            </w:r>
            <w:proofErr w:type="spellStart"/>
            <w:r>
              <w:rPr>
                <w:rFonts w:cs="Bliss-Regular"/>
                <w:color w:val="000000"/>
              </w:rPr>
              <w:t>Chubili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5857" w:rsidP="00A851DA">
            <w:pPr>
              <w:rPr>
                <w:rFonts w:cs="Bliss-Regular"/>
                <w:color w:val="000000"/>
              </w:rPr>
            </w:pPr>
            <w:r>
              <w:rPr>
                <w:rFonts w:cs="Bliss-Regular"/>
                <w:color w:val="000000"/>
              </w:rPr>
              <w:t>22/12/15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853" w:rsidRDefault="00707853" w:rsidP="00CB4D0A">
      <w:pPr>
        <w:spacing w:after="0" w:line="240" w:lineRule="auto"/>
      </w:pPr>
      <w:r>
        <w:separator/>
      </w:r>
    </w:p>
  </w:endnote>
  <w:endnote w:type="continuationSeparator" w:id="0">
    <w:p w:rsidR="00707853" w:rsidRDefault="0070785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674329" w:rsidRDefault="00674329">
        <w:pPr>
          <w:pStyle w:val="Footer"/>
          <w:jc w:val="right"/>
        </w:pPr>
        <w:r>
          <w:t xml:space="preserve">Page | </w:t>
        </w:r>
        <w:fldSimple w:instr=" PAGE   \* MERGEFORMAT ">
          <w:r w:rsidR="00525857">
            <w:rPr>
              <w:noProof/>
            </w:rPr>
            <w:t>2</w:t>
          </w:r>
        </w:fldSimple>
        <w:r>
          <w:t xml:space="preserve"> </w:t>
        </w:r>
      </w:p>
    </w:sdtContent>
  </w:sdt>
  <w:p w:rsidR="00674329" w:rsidRDefault="006743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853" w:rsidRDefault="00707853" w:rsidP="00CB4D0A">
      <w:pPr>
        <w:spacing w:after="0" w:line="240" w:lineRule="auto"/>
      </w:pPr>
      <w:r>
        <w:separator/>
      </w:r>
    </w:p>
  </w:footnote>
  <w:footnote w:type="continuationSeparator" w:id="0">
    <w:p w:rsidR="00707853" w:rsidRDefault="0070785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29" w:rsidRDefault="00674329">
    <w:pPr>
      <w:pStyle w:val="Header"/>
    </w:pPr>
    <w:r>
      <w:t xml:space="preserve">                                                                                          Tapela </w:t>
    </w:r>
    <w:proofErr w:type="spellStart"/>
    <w:r>
      <w:t>chubili</w:t>
    </w:r>
    <w:proofErr w:type="spellEnd"/>
    <w:r>
      <w:t>, ID-</w:t>
    </w:r>
    <w:r w:rsidR="007C7346">
      <w:t xml:space="preserve"> 1341, Customer Service, Unit 12</w:t>
    </w:r>
  </w:p>
  <w:p w:rsidR="00674329" w:rsidRDefault="006743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34A"/>
    <w:multiLevelType w:val="hybridMultilevel"/>
    <w:tmpl w:val="567AE3D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C21CE2"/>
    <w:multiLevelType w:val="hybridMultilevel"/>
    <w:tmpl w:val="62A2401E"/>
    <w:lvl w:ilvl="0" w:tplc="08090003">
      <w:start w:val="1"/>
      <w:numFmt w:val="bullet"/>
      <w:lvlText w:val="o"/>
      <w:lvlJc w:val="left"/>
      <w:pPr>
        <w:ind w:left="1730" w:hanging="360"/>
      </w:pPr>
      <w:rPr>
        <w:rFonts w:ascii="Courier New" w:hAnsi="Courier New" w:cs="Courier New" w:hint="default"/>
      </w:rPr>
    </w:lvl>
    <w:lvl w:ilvl="1" w:tplc="08090003" w:tentative="1">
      <w:start w:val="1"/>
      <w:numFmt w:val="bullet"/>
      <w:lvlText w:val="o"/>
      <w:lvlJc w:val="left"/>
      <w:pPr>
        <w:ind w:left="2450" w:hanging="360"/>
      </w:pPr>
      <w:rPr>
        <w:rFonts w:ascii="Courier New" w:hAnsi="Courier New" w:cs="Courier New" w:hint="default"/>
      </w:rPr>
    </w:lvl>
    <w:lvl w:ilvl="2" w:tplc="08090005" w:tentative="1">
      <w:start w:val="1"/>
      <w:numFmt w:val="bullet"/>
      <w:lvlText w:val=""/>
      <w:lvlJc w:val="left"/>
      <w:pPr>
        <w:ind w:left="3170" w:hanging="360"/>
      </w:pPr>
      <w:rPr>
        <w:rFonts w:ascii="Wingdings" w:hAnsi="Wingdings" w:hint="default"/>
      </w:rPr>
    </w:lvl>
    <w:lvl w:ilvl="3" w:tplc="08090001" w:tentative="1">
      <w:start w:val="1"/>
      <w:numFmt w:val="bullet"/>
      <w:lvlText w:val=""/>
      <w:lvlJc w:val="left"/>
      <w:pPr>
        <w:ind w:left="3890" w:hanging="360"/>
      </w:pPr>
      <w:rPr>
        <w:rFonts w:ascii="Symbol" w:hAnsi="Symbol" w:hint="default"/>
      </w:rPr>
    </w:lvl>
    <w:lvl w:ilvl="4" w:tplc="08090003" w:tentative="1">
      <w:start w:val="1"/>
      <w:numFmt w:val="bullet"/>
      <w:lvlText w:val="o"/>
      <w:lvlJc w:val="left"/>
      <w:pPr>
        <w:ind w:left="4610" w:hanging="360"/>
      </w:pPr>
      <w:rPr>
        <w:rFonts w:ascii="Courier New" w:hAnsi="Courier New" w:cs="Courier New" w:hint="default"/>
      </w:rPr>
    </w:lvl>
    <w:lvl w:ilvl="5" w:tplc="08090005" w:tentative="1">
      <w:start w:val="1"/>
      <w:numFmt w:val="bullet"/>
      <w:lvlText w:val=""/>
      <w:lvlJc w:val="left"/>
      <w:pPr>
        <w:ind w:left="5330" w:hanging="360"/>
      </w:pPr>
      <w:rPr>
        <w:rFonts w:ascii="Wingdings" w:hAnsi="Wingdings" w:hint="default"/>
      </w:rPr>
    </w:lvl>
    <w:lvl w:ilvl="6" w:tplc="08090001" w:tentative="1">
      <w:start w:val="1"/>
      <w:numFmt w:val="bullet"/>
      <w:lvlText w:val=""/>
      <w:lvlJc w:val="left"/>
      <w:pPr>
        <w:ind w:left="6050" w:hanging="360"/>
      </w:pPr>
      <w:rPr>
        <w:rFonts w:ascii="Symbol" w:hAnsi="Symbol" w:hint="default"/>
      </w:rPr>
    </w:lvl>
    <w:lvl w:ilvl="7" w:tplc="08090003" w:tentative="1">
      <w:start w:val="1"/>
      <w:numFmt w:val="bullet"/>
      <w:lvlText w:val="o"/>
      <w:lvlJc w:val="left"/>
      <w:pPr>
        <w:ind w:left="6770" w:hanging="360"/>
      </w:pPr>
      <w:rPr>
        <w:rFonts w:ascii="Courier New" w:hAnsi="Courier New" w:cs="Courier New" w:hint="default"/>
      </w:rPr>
    </w:lvl>
    <w:lvl w:ilvl="8" w:tplc="08090005" w:tentative="1">
      <w:start w:val="1"/>
      <w:numFmt w:val="bullet"/>
      <w:lvlText w:val=""/>
      <w:lvlJc w:val="left"/>
      <w:pPr>
        <w:ind w:left="7490" w:hanging="360"/>
      </w:pPr>
      <w:rPr>
        <w:rFonts w:ascii="Wingdings" w:hAnsi="Wingdings" w:hint="default"/>
      </w:rPr>
    </w:lvl>
  </w:abstractNum>
  <w:abstractNum w:abstractNumId="3">
    <w:nsid w:val="1576067B"/>
    <w:multiLevelType w:val="hybridMultilevel"/>
    <w:tmpl w:val="7D662F3C"/>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5">
    <w:nsid w:val="21840834"/>
    <w:multiLevelType w:val="hybridMultilevel"/>
    <w:tmpl w:val="AF3E706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nsid w:val="240161CC"/>
    <w:multiLevelType w:val="hybridMultilevel"/>
    <w:tmpl w:val="435A5D0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7">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2961A3"/>
    <w:multiLevelType w:val="hybridMultilevel"/>
    <w:tmpl w:val="D798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1819FC"/>
    <w:multiLevelType w:val="hybridMultilevel"/>
    <w:tmpl w:val="007278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F2A1EF0"/>
    <w:multiLevelType w:val="hybridMultilevel"/>
    <w:tmpl w:val="7BBC5C44"/>
    <w:lvl w:ilvl="0" w:tplc="FF864CF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1">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8A4228"/>
    <w:multiLevelType w:val="hybridMultilevel"/>
    <w:tmpl w:val="76B44C8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4">
    <w:nsid w:val="394F58D6"/>
    <w:multiLevelType w:val="hybridMultilevel"/>
    <w:tmpl w:val="8BDA92F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5">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0D1A9E"/>
    <w:multiLevelType w:val="hybridMultilevel"/>
    <w:tmpl w:val="BA0039D4"/>
    <w:lvl w:ilvl="0" w:tplc="B45E2F80">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8">
    <w:nsid w:val="49BE4A75"/>
    <w:multiLevelType w:val="hybridMultilevel"/>
    <w:tmpl w:val="595803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5257F7"/>
    <w:multiLevelType w:val="hybridMultilevel"/>
    <w:tmpl w:val="AD2AC75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0">
    <w:nsid w:val="4EDF7BB9"/>
    <w:multiLevelType w:val="hybridMultilevel"/>
    <w:tmpl w:val="6610D1E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23">
    <w:nsid w:val="535B0DA1"/>
    <w:multiLevelType w:val="hybridMultilevel"/>
    <w:tmpl w:val="07B054C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4">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5">
    <w:nsid w:val="6C3745A1"/>
    <w:multiLevelType w:val="hybridMultilevel"/>
    <w:tmpl w:val="628C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4922BD"/>
    <w:multiLevelType w:val="hybridMultilevel"/>
    <w:tmpl w:val="BC42E6D2"/>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nsid w:val="771E1162"/>
    <w:multiLevelType w:val="hybridMultilevel"/>
    <w:tmpl w:val="1054C2B8"/>
    <w:lvl w:ilvl="0" w:tplc="08090003">
      <w:start w:val="1"/>
      <w:numFmt w:val="bullet"/>
      <w:lvlText w:val="o"/>
      <w:lvlJc w:val="left"/>
      <w:pPr>
        <w:ind w:left="1337" w:hanging="360"/>
      </w:pPr>
      <w:rPr>
        <w:rFonts w:ascii="Courier New" w:hAnsi="Courier New" w:cs="Courier New" w:hint="default"/>
      </w:rPr>
    </w:lvl>
    <w:lvl w:ilvl="1" w:tplc="08090003" w:tentative="1">
      <w:start w:val="1"/>
      <w:numFmt w:val="bullet"/>
      <w:lvlText w:val="o"/>
      <w:lvlJc w:val="left"/>
      <w:pPr>
        <w:ind w:left="2057" w:hanging="360"/>
      </w:pPr>
      <w:rPr>
        <w:rFonts w:ascii="Courier New" w:hAnsi="Courier New" w:cs="Courier New" w:hint="default"/>
      </w:rPr>
    </w:lvl>
    <w:lvl w:ilvl="2" w:tplc="08090005" w:tentative="1">
      <w:start w:val="1"/>
      <w:numFmt w:val="bullet"/>
      <w:lvlText w:val=""/>
      <w:lvlJc w:val="left"/>
      <w:pPr>
        <w:ind w:left="2777" w:hanging="360"/>
      </w:pPr>
      <w:rPr>
        <w:rFonts w:ascii="Wingdings" w:hAnsi="Wingdings" w:hint="default"/>
      </w:rPr>
    </w:lvl>
    <w:lvl w:ilvl="3" w:tplc="08090001" w:tentative="1">
      <w:start w:val="1"/>
      <w:numFmt w:val="bullet"/>
      <w:lvlText w:val=""/>
      <w:lvlJc w:val="left"/>
      <w:pPr>
        <w:ind w:left="3497" w:hanging="360"/>
      </w:pPr>
      <w:rPr>
        <w:rFonts w:ascii="Symbol" w:hAnsi="Symbol" w:hint="default"/>
      </w:rPr>
    </w:lvl>
    <w:lvl w:ilvl="4" w:tplc="08090003" w:tentative="1">
      <w:start w:val="1"/>
      <w:numFmt w:val="bullet"/>
      <w:lvlText w:val="o"/>
      <w:lvlJc w:val="left"/>
      <w:pPr>
        <w:ind w:left="4217" w:hanging="360"/>
      </w:pPr>
      <w:rPr>
        <w:rFonts w:ascii="Courier New" w:hAnsi="Courier New" w:cs="Courier New" w:hint="default"/>
      </w:rPr>
    </w:lvl>
    <w:lvl w:ilvl="5" w:tplc="08090005" w:tentative="1">
      <w:start w:val="1"/>
      <w:numFmt w:val="bullet"/>
      <w:lvlText w:val=""/>
      <w:lvlJc w:val="left"/>
      <w:pPr>
        <w:ind w:left="4937" w:hanging="360"/>
      </w:pPr>
      <w:rPr>
        <w:rFonts w:ascii="Wingdings" w:hAnsi="Wingdings" w:hint="default"/>
      </w:rPr>
    </w:lvl>
    <w:lvl w:ilvl="6" w:tplc="08090001" w:tentative="1">
      <w:start w:val="1"/>
      <w:numFmt w:val="bullet"/>
      <w:lvlText w:val=""/>
      <w:lvlJc w:val="left"/>
      <w:pPr>
        <w:ind w:left="5657" w:hanging="360"/>
      </w:pPr>
      <w:rPr>
        <w:rFonts w:ascii="Symbol" w:hAnsi="Symbol" w:hint="default"/>
      </w:rPr>
    </w:lvl>
    <w:lvl w:ilvl="7" w:tplc="08090003" w:tentative="1">
      <w:start w:val="1"/>
      <w:numFmt w:val="bullet"/>
      <w:lvlText w:val="o"/>
      <w:lvlJc w:val="left"/>
      <w:pPr>
        <w:ind w:left="6377" w:hanging="360"/>
      </w:pPr>
      <w:rPr>
        <w:rFonts w:ascii="Courier New" w:hAnsi="Courier New" w:cs="Courier New" w:hint="default"/>
      </w:rPr>
    </w:lvl>
    <w:lvl w:ilvl="8" w:tplc="08090005" w:tentative="1">
      <w:start w:val="1"/>
      <w:numFmt w:val="bullet"/>
      <w:lvlText w:val=""/>
      <w:lvlJc w:val="left"/>
      <w:pPr>
        <w:ind w:left="7097" w:hanging="360"/>
      </w:pPr>
      <w:rPr>
        <w:rFonts w:ascii="Wingdings" w:hAnsi="Wingdings" w:hint="default"/>
      </w:rPr>
    </w:lvl>
  </w:abstractNum>
  <w:num w:numId="1">
    <w:abstractNumId w:val="21"/>
  </w:num>
  <w:num w:numId="2">
    <w:abstractNumId w:val="15"/>
  </w:num>
  <w:num w:numId="3">
    <w:abstractNumId w:val="27"/>
  </w:num>
  <w:num w:numId="4">
    <w:abstractNumId w:val="24"/>
  </w:num>
  <w:num w:numId="5">
    <w:abstractNumId w:val="4"/>
  </w:num>
  <w:num w:numId="6">
    <w:abstractNumId w:val="16"/>
  </w:num>
  <w:num w:numId="7">
    <w:abstractNumId w:val="22"/>
  </w:num>
  <w:num w:numId="8">
    <w:abstractNumId w:val="12"/>
  </w:num>
  <w:num w:numId="9">
    <w:abstractNumId w:val="1"/>
  </w:num>
  <w:num w:numId="10">
    <w:abstractNumId w:val="11"/>
  </w:num>
  <w:num w:numId="11">
    <w:abstractNumId w:val="7"/>
  </w:num>
  <w:num w:numId="12">
    <w:abstractNumId w:val="8"/>
  </w:num>
  <w:num w:numId="13">
    <w:abstractNumId w:val="25"/>
  </w:num>
  <w:num w:numId="14">
    <w:abstractNumId w:val="17"/>
  </w:num>
  <w:num w:numId="15">
    <w:abstractNumId w:val="19"/>
  </w:num>
  <w:num w:numId="16">
    <w:abstractNumId w:val="14"/>
  </w:num>
  <w:num w:numId="17">
    <w:abstractNumId w:val="2"/>
  </w:num>
  <w:num w:numId="18">
    <w:abstractNumId w:val="28"/>
  </w:num>
  <w:num w:numId="19">
    <w:abstractNumId w:val="0"/>
  </w:num>
  <w:num w:numId="20">
    <w:abstractNumId w:val="18"/>
  </w:num>
  <w:num w:numId="21">
    <w:abstractNumId w:val="9"/>
  </w:num>
  <w:num w:numId="22">
    <w:abstractNumId w:val="26"/>
  </w:num>
  <w:num w:numId="23">
    <w:abstractNumId w:val="5"/>
  </w:num>
  <w:num w:numId="24">
    <w:abstractNumId w:val="23"/>
  </w:num>
  <w:num w:numId="25">
    <w:abstractNumId w:val="20"/>
  </w:num>
  <w:num w:numId="26">
    <w:abstractNumId w:val="3"/>
  </w:num>
  <w:num w:numId="27">
    <w:abstractNumId w:val="6"/>
  </w:num>
  <w:num w:numId="28">
    <w:abstractNumId w:val="13"/>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69F1"/>
    <w:rsid w:val="000F6D43"/>
    <w:rsid w:val="001175EE"/>
    <w:rsid w:val="00157CF6"/>
    <w:rsid w:val="00182416"/>
    <w:rsid w:val="00187EB4"/>
    <w:rsid w:val="001A5FC5"/>
    <w:rsid w:val="001B2C8E"/>
    <w:rsid w:val="001D48F6"/>
    <w:rsid w:val="001D685B"/>
    <w:rsid w:val="001D7F33"/>
    <w:rsid w:val="001E176C"/>
    <w:rsid w:val="001E7CD8"/>
    <w:rsid w:val="001F0481"/>
    <w:rsid w:val="0020451E"/>
    <w:rsid w:val="00206B9D"/>
    <w:rsid w:val="0023259C"/>
    <w:rsid w:val="0026000E"/>
    <w:rsid w:val="00272D2A"/>
    <w:rsid w:val="002902C3"/>
    <w:rsid w:val="002946D3"/>
    <w:rsid w:val="00296BA7"/>
    <w:rsid w:val="002B0BD7"/>
    <w:rsid w:val="002B4AD3"/>
    <w:rsid w:val="002B573D"/>
    <w:rsid w:val="002C5CB2"/>
    <w:rsid w:val="002F779F"/>
    <w:rsid w:val="00325D83"/>
    <w:rsid w:val="00371885"/>
    <w:rsid w:val="003E2B87"/>
    <w:rsid w:val="00405895"/>
    <w:rsid w:val="004058DF"/>
    <w:rsid w:val="00440626"/>
    <w:rsid w:val="00486F1A"/>
    <w:rsid w:val="00490CB9"/>
    <w:rsid w:val="004A2CE2"/>
    <w:rsid w:val="004D780C"/>
    <w:rsid w:val="004E3CDA"/>
    <w:rsid w:val="004F3F05"/>
    <w:rsid w:val="004F4B4D"/>
    <w:rsid w:val="0050216D"/>
    <w:rsid w:val="00503D7E"/>
    <w:rsid w:val="0050778F"/>
    <w:rsid w:val="00525857"/>
    <w:rsid w:val="00527AD2"/>
    <w:rsid w:val="00535F31"/>
    <w:rsid w:val="0054374E"/>
    <w:rsid w:val="00561089"/>
    <w:rsid w:val="00574D64"/>
    <w:rsid w:val="00591365"/>
    <w:rsid w:val="005B31E4"/>
    <w:rsid w:val="005C1B68"/>
    <w:rsid w:val="006034F6"/>
    <w:rsid w:val="00607874"/>
    <w:rsid w:val="00607E77"/>
    <w:rsid w:val="00617BB3"/>
    <w:rsid w:val="00645CDD"/>
    <w:rsid w:val="00674329"/>
    <w:rsid w:val="006823A7"/>
    <w:rsid w:val="006A3965"/>
    <w:rsid w:val="006D355A"/>
    <w:rsid w:val="006F5A77"/>
    <w:rsid w:val="0070347F"/>
    <w:rsid w:val="0070678E"/>
    <w:rsid w:val="00707853"/>
    <w:rsid w:val="00756063"/>
    <w:rsid w:val="00793394"/>
    <w:rsid w:val="00797755"/>
    <w:rsid w:val="007B0D5D"/>
    <w:rsid w:val="007C7346"/>
    <w:rsid w:val="007C7425"/>
    <w:rsid w:val="007E7FC7"/>
    <w:rsid w:val="00811E14"/>
    <w:rsid w:val="00831C11"/>
    <w:rsid w:val="008A60B4"/>
    <w:rsid w:val="008B3C31"/>
    <w:rsid w:val="008B64FE"/>
    <w:rsid w:val="008D3B42"/>
    <w:rsid w:val="00935BF7"/>
    <w:rsid w:val="0095442C"/>
    <w:rsid w:val="009545BF"/>
    <w:rsid w:val="00962CA7"/>
    <w:rsid w:val="00963588"/>
    <w:rsid w:val="00982727"/>
    <w:rsid w:val="00983942"/>
    <w:rsid w:val="009A0587"/>
    <w:rsid w:val="009C37E0"/>
    <w:rsid w:val="009D6281"/>
    <w:rsid w:val="00A14B66"/>
    <w:rsid w:val="00A62B15"/>
    <w:rsid w:val="00A65AAE"/>
    <w:rsid w:val="00A65CF7"/>
    <w:rsid w:val="00A836E8"/>
    <w:rsid w:val="00A851DA"/>
    <w:rsid w:val="00AC7D5B"/>
    <w:rsid w:val="00AE12CB"/>
    <w:rsid w:val="00AE1481"/>
    <w:rsid w:val="00AF61E5"/>
    <w:rsid w:val="00B0381D"/>
    <w:rsid w:val="00B0415E"/>
    <w:rsid w:val="00B04678"/>
    <w:rsid w:val="00B979C5"/>
    <w:rsid w:val="00BC46DF"/>
    <w:rsid w:val="00C03577"/>
    <w:rsid w:val="00C65FEA"/>
    <w:rsid w:val="00CA0AC2"/>
    <w:rsid w:val="00CB4D0A"/>
    <w:rsid w:val="00CC2FB3"/>
    <w:rsid w:val="00CC575A"/>
    <w:rsid w:val="00D039AC"/>
    <w:rsid w:val="00D140EB"/>
    <w:rsid w:val="00D27CE1"/>
    <w:rsid w:val="00D36642"/>
    <w:rsid w:val="00D4131E"/>
    <w:rsid w:val="00D427DE"/>
    <w:rsid w:val="00D47DCE"/>
    <w:rsid w:val="00D5587D"/>
    <w:rsid w:val="00D707CC"/>
    <w:rsid w:val="00D821FE"/>
    <w:rsid w:val="00DB0793"/>
    <w:rsid w:val="00DB401D"/>
    <w:rsid w:val="00DF331E"/>
    <w:rsid w:val="00E00821"/>
    <w:rsid w:val="00E04DB4"/>
    <w:rsid w:val="00E30679"/>
    <w:rsid w:val="00E324AC"/>
    <w:rsid w:val="00E4597D"/>
    <w:rsid w:val="00E54832"/>
    <w:rsid w:val="00E56A90"/>
    <w:rsid w:val="00E641CC"/>
    <w:rsid w:val="00EA30AB"/>
    <w:rsid w:val="00EB3925"/>
    <w:rsid w:val="00F12DF5"/>
    <w:rsid w:val="00F167BF"/>
    <w:rsid w:val="00F7240F"/>
    <w:rsid w:val="00F96B7A"/>
    <w:rsid w:val="00FA0339"/>
    <w:rsid w:val="00FD16D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D7F33"/>
  </w:style>
  <w:style w:type="character" w:styleId="Strong">
    <w:name w:val="Strong"/>
    <w:basedOn w:val="DefaultParagraphFont"/>
    <w:uiPriority w:val="22"/>
    <w:qFormat/>
    <w:rsid w:val="001D7F33"/>
    <w:rPr>
      <w:b/>
      <w:bCs/>
    </w:rPr>
  </w:style>
  <w:style w:type="paragraph" w:styleId="NormalWeb">
    <w:name w:val="Normal (Web)"/>
    <w:basedOn w:val="Normal"/>
    <w:uiPriority w:val="99"/>
    <w:semiHidden/>
    <w:unhideWhenUsed/>
    <w:rsid w:val="001D7F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D7F33"/>
    <w:rPr>
      <w:color w:val="0000FF"/>
      <w:u w:val="single"/>
    </w:rPr>
  </w:style>
  <w:style w:type="character" w:customStyle="1" w:styleId="textlessonlink">
    <w:name w:val="textlessonlink"/>
    <w:basedOn w:val="DefaultParagraphFont"/>
    <w:rsid w:val="006D355A"/>
  </w:style>
  <w:style w:type="character" w:customStyle="1" w:styleId="bodycopyitalics">
    <w:name w:val="bodycopyitalics"/>
    <w:basedOn w:val="DefaultParagraphFont"/>
    <w:rsid w:val="006D355A"/>
  </w:style>
  <w:style w:type="character" w:customStyle="1" w:styleId="blueunderlined">
    <w:name w:val="blueunderlined"/>
    <w:basedOn w:val="DefaultParagraphFont"/>
    <w:rsid w:val="006D355A"/>
  </w:style>
  <w:style w:type="character" w:customStyle="1" w:styleId="articleitalicunderline">
    <w:name w:val="articleitalicunderline"/>
    <w:basedOn w:val="DefaultParagraphFont"/>
    <w:rsid w:val="006D355A"/>
  </w:style>
</w:styles>
</file>

<file path=word/webSettings.xml><?xml version="1.0" encoding="utf-8"?>
<w:webSettings xmlns:r="http://schemas.openxmlformats.org/officeDocument/2006/relationships" xmlns:w="http://schemas.openxmlformats.org/wordprocessingml/2006/main">
  <w:divs>
    <w:div w:id="366418077">
      <w:bodyDiv w:val="1"/>
      <w:marLeft w:val="0"/>
      <w:marRight w:val="0"/>
      <w:marTop w:val="0"/>
      <w:marBottom w:val="0"/>
      <w:divBdr>
        <w:top w:val="none" w:sz="0" w:space="0" w:color="auto"/>
        <w:left w:val="none" w:sz="0" w:space="0" w:color="auto"/>
        <w:bottom w:val="none" w:sz="0" w:space="0" w:color="auto"/>
        <w:right w:val="none" w:sz="0" w:space="0" w:color="auto"/>
      </w:divBdr>
    </w:div>
    <w:div w:id="975452089">
      <w:bodyDiv w:val="1"/>
      <w:marLeft w:val="0"/>
      <w:marRight w:val="0"/>
      <w:marTop w:val="0"/>
      <w:marBottom w:val="0"/>
      <w:divBdr>
        <w:top w:val="none" w:sz="0" w:space="0" w:color="auto"/>
        <w:left w:val="none" w:sz="0" w:space="0" w:color="auto"/>
        <w:bottom w:val="none" w:sz="0" w:space="0" w:color="auto"/>
        <w:right w:val="none" w:sz="0" w:space="0" w:color="auto"/>
      </w:divBdr>
    </w:div>
    <w:div w:id="1202747217">
      <w:bodyDiv w:val="1"/>
      <w:marLeft w:val="0"/>
      <w:marRight w:val="0"/>
      <w:marTop w:val="0"/>
      <w:marBottom w:val="0"/>
      <w:divBdr>
        <w:top w:val="none" w:sz="0" w:space="0" w:color="auto"/>
        <w:left w:val="none" w:sz="0" w:space="0" w:color="auto"/>
        <w:bottom w:val="none" w:sz="0" w:space="0" w:color="auto"/>
        <w:right w:val="none" w:sz="0" w:space="0" w:color="auto"/>
      </w:divBdr>
    </w:div>
    <w:div w:id="1255700644">
      <w:bodyDiv w:val="1"/>
      <w:marLeft w:val="0"/>
      <w:marRight w:val="0"/>
      <w:marTop w:val="0"/>
      <w:marBottom w:val="0"/>
      <w:divBdr>
        <w:top w:val="none" w:sz="0" w:space="0" w:color="auto"/>
        <w:left w:val="none" w:sz="0" w:space="0" w:color="auto"/>
        <w:bottom w:val="none" w:sz="0" w:space="0" w:color="auto"/>
        <w:right w:val="none" w:sz="0" w:space="0" w:color="auto"/>
      </w:divBdr>
    </w:div>
    <w:div w:id="19519380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allup.com/home.aspx" TargetMode="External"/><Relationship Id="rId4" Type="http://schemas.openxmlformats.org/officeDocument/2006/relationships/settings" Target="settings.xml"/><Relationship Id="rId9" Type="http://schemas.openxmlformats.org/officeDocument/2006/relationships/hyperlink" Target="http://www.haygroup.com/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51E3A-9137-4D9B-AF89-E59D78719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1650</Words>
  <Characters>9407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2015-12-22T16:53:00Z</dcterms:created>
  <dcterms:modified xsi:type="dcterms:W3CDTF">2015-12-22T16:53:00Z</dcterms:modified>
</cp:coreProperties>
</file>