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FE2CB3" w:rsidRDefault="00607874" w:rsidP="00A851DA">
      <w:pPr>
        <w:pStyle w:val="Default"/>
        <w:rPr>
          <w:rFonts w:ascii="Arial" w:hAnsi="Arial" w:cs="Arial"/>
        </w:rPr>
      </w:pPr>
      <w:bookmarkStart w:id="0" w:name="_GoBack"/>
      <w:bookmarkEnd w:id="0"/>
      <w:r w:rsidRPr="00FE2CB3">
        <w:rPr>
          <w:rFonts w:ascii="Arial" w:hAnsi="Arial" w:cs="Arial"/>
          <w:noProof/>
        </w:rPr>
        <w:drawing>
          <wp:anchor distT="0" distB="0" distL="114300" distR="114300" simplePos="0" relativeHeight="251658240" behindDoc="0" locked="0" layoutInCell="1" allowOverlap="1" wp14:anchorId="019332E3" wp14:editId="0713D1C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E2CB3">
        <w:rPr>
          <w:rFonts w:ascii="Arial" w:hAnsi="Arial" w:cs="Arial"/>
        </w:rPr>
        <w:t xml:space="preserve">                                                             </w:t>
      </w:r>
      <w:r w:rsidR="00405895" w:rsidRPr="00FE2CB3">
        <w:rPr>
          <w:rFonts w:ascii="Arial" w:hAnsi="Arial" w:cs="Arial"/>
        </w:rPr>
        <w:t xml:space="preserve">     </w:t>
      </w:r>
    </w:p>
    <w:p w:rsidR="00607874" w:rsidRPr="00FE2CB3" w:rsidRDefault="002D228D" w:rsidP="00A851DA">
      <w:pPr>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FE2CB3" w:rsidRDefault="00607874" w:rsidP="00A851DA">
      <w:pPr>
        <w:rPr>
          <w:rFonts w:ascii="Arial" w:hAnsi="Arial" w:cs="Arial"/>
          <w:sz w:val="24"/>
          <w:szCs w:val="24"/>
          <w:lang w:val="en-US"/>
        </w:rPr>
      </w:pPr>
    </w:p>
    <w:p w:rsidR="00607874" w:rsidRPr="00FE2CB3" w:rsidRDefault="00607874" w:rsidP="00A851DA">
      <w:pPr>
        <w:rPr>
          <w:rFonts w:ascii="Arial" w:hAnsi="Arial" w:cs="Arial"/>
          <w:sz w:val="24"/>
          <w:szCs w:val="24"/>
          <w:lang w:val="en-US"/>
        </w:rPr>
      </w:pPr>
    </w:p>
    <w:p w:rsidR="00607874" w:rsidRPr="00FE2CB3"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FE2CB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E2CB3" w:rsidRDefault="00A851DA">
            <w:pPr>
              <w:rPr>
                <w:rFonts w:ascii="Arial" w:hAnsi="Arial" w:cs="Arial"/>
                <w:b/>
                <w:color w:val="002060"/>
                <w:sz w:val="24"/>
                <w:szCs w:val="24"/>
              </w:rPr>
            </w:pPr>
            <w:r w:rsidRPr="00FE2CB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E2CB3" w:rsidRDefault="00AB497F">
            <w:pPr>
              <w:pStyle w:val="Default"/>
              <w:rPr>
                <w:rFonts w:ascii="Arial" w:hAnsi="Arial" w:cs="Arial"/>
              </w:rPr>
            </w:pPr>
            <w:r w:rsidRPr="00FE2CB3">
              <w:rPr>
                <w:rFonts w:ascii="Arial" w:hAnsi="Arial" w:cs="Arial"/>
              </w:rPr>
              <w:t>Emmanuel Nsobila</w:t>
            </w:r>
          </w:p>
        </w:tc>
      </w:tr>
      <w:tr w:rsidR="00A851DA" w:rsidRPr="00FE2CB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E2CB3" w:rsidRDefault="00A851DA">
            <w:pPr>
              <w:rPr>
                <w:rFonts w:ascii="Arial" w:hAnsi="Arial" w:cs="Arial"/>
                <w:b/>
                <w:color w:val="002060"/>
                <w:sz w:val="24"/>
                <w:szCs w:val="24"/>
              </w:rPr>
            </w:pPr>
            <w:r w:rsidRPr="00FE2CB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E2CB3" w:rsidRDefault="00AB497F">
            <w:pPr>
              <w:pStyle w:val="Default"/>
              <w:rPr>
                <w:rFonts w:ascii="Arial" w:hAnsi="Arial" w:cs="Arial"/>
              </w:rPr>
            </w:pPr>
            <w:r w:rsidRPr="00FE2CB3">
              <w:rPr>
                <w:rFonts w:ascii="Arial" w:hAnsi="Arial" w:cs="Arial"/>
              </w:rPr>
              <w:t>1276</w:t>
            </w:r>
          </w:p>
        </w:tc>
      </w:tr>
      <w:tr w:rsidR="00A851DA" w:rsidRPr="00FE2CB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E2CB3" w:rsidRDefault="00A851DA">
            <w:pPr>
              <w:rPr>
                <w:rFonts w:ascii="Arial" w:hAnsi="Arial" w:cs="Arial"/>
                <w:b/>
                <w:color w:val="002060"/>
                <w:sz w:val="24"/>
                <w:szCs w:val="24"/>
              </w:rPr>
            </w:pPr>
            <w:r w:rsidRPr="00FE2CB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E2CB3" w:rsidRDefault="00AB497F">
            <w:pPr>
              <w:pStyle w:val="Default"/>
              <w:rPr>
                <w:rFonts w:ascii="Arial" w:hAnsi="Arial" w:cs="Arial"/>
              </w:rPr>
            </w:pPr>
            <w:r w:rsidRPr="00FE2CB3">
              <w:rPr>
                <w:rFonts w:ascii="Arial" w:hAnsi="Arial" w:cs="Arial"/>
              </w:rPr>
              <w:t>Diploma in Forensic Accounting</w:t>
            </w:r>
          </w:p>
        </w:tc>
      </w:tr>
      <w:tr w:rsidR="00A851DA" w:rsidRPr="00FE2CB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E2CB3" w:rsidRDefault="00A851DA">
            <w:pPr>
              <w:rPr>
                <w:rFonts w:ascii="Arial" w:hAnsi="Arial" w:cs="Arial"/>
                <w:b/>
                <w:color w:val="002060"/>
                <w:sz w:val="24"/>
                <w:szCs w:val="24"/>
              </w:rPr>
            </w:pPr>
            <w:r w:rsidRPr="00FE2CB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E2CB3" w:rsidRDefault="00AB497F">
            <w:pPr>
              <w:rPr>
                <w:rFonts w:ascii="Arial" w:hAnsi="Arial" w:cs="Arial"/>
                <w:sz w:val="24"/>
                <w:szCs w:val="24"/>
              </w:rPr>
            </w:pPr>
            <w:r w:rsidRPr="00FE2CB3">
              <w:rPr>
                <w:rFonts w:ascii="Arial" w:hAnsi="Arial" w:cs="Arial"/>
                <w:sz w:val="24"/>
                <w:szCs w:val="24"/>
              </w:rPr>
              <w:t>05</w:t>
            </w:r>
          </w:p>
        </w:tc>
      </w:tr>
    </w:tbl>
    <w:p w:rsidR="00CC2FB3" w:rsidRPr="00FE2CB3" w:rsidRDefault="00CC2FB3" w:rsidP="00A851DA">
      <w:pPr>
        <w:rPr>
          <w:rFonts w:ascii="Arial" w:hAnsi="Arial" w:cs="Arial"/>
          <w:b/>
          <w:sz w:val="24"/>
          <w:szCs w:val="24"/>
          <w:lang w:val="en-US"/>
        </w:rPr>
      </w:pPr>
    </w:p>
    <w:tbl>
      <w:tblPr>
        <w:tblStyle w:val="TableGrid"/>
        <w:tblW w:w="0" w:type="auto"/>
        <w:tblLook w:val="04A0" w:firstRow="1" w:lastRow="0" w:firstColumn="1" w:lastColumn="0" w:noHBand="0" w:noVBand="1"/>
      </w:tblPr>
      <w:tblGrid>
        <w:gridCol w:w="9242"/>
      </w:tblGrid>
      <w:tr w:rsidR="00CC2FB3" w:rsidRPr="00FE2CB3" w:rsidTr="00CC2FB3">
        <w:tc>
          <w:tcPr>
            <w:tcW w:w="9242" w:type="dxa"/>
          </w:tcPr>
          <w:p w:rsidR="00FE2CB3" w:rsidRPr="00FE2CB3" w:rsidRDefault="00FE2CB3" w:rsidP="00FE2CB3">
            <w:pPr>
              <w:spacing w:before="100" w:beforeAutospacing="1" w:after="100" w:afterAutospacing="1" w:line="360" w:lineRule="auto"/>
              <w:jc w:val="both"/>
              <w:rPr>
                <w:rFonts w:ascii="Arial" w:hAnsi="Arial" w:cs="Arial"/>
                <w:b/>
                <w:sz w:val="24"/>
                <w:szCs w:val="24"/>
              </w:rPr>
            </w:pPr>
            <w:r w:rsidRPr="00FE2CB3">
              <w:rPr>
                <w:rFonts w:ascii="Arial" w:hAnsi="Arial" w:cs="Arial"/>
                <w:b/>
                <w:sz w:val="24"/>
                <w:szCs w:val="24"/>
              </w:rPr>
              <w:t>QUESTION 1</w:t>
            </w:r>
          </w:p>
          <w:p w:rsidR="00FE2CB3" w:rsidRPr="00FE2CB3" w:rsidRDefault="00FE2CB3" w:rsidP="00FE2CB3">
            <w:pPr>
              <w:spacing w:before="100" w:beforeAutospacing="1" w:after="100" w:afterAutospacing="1" w:line="360" w:lineRule="auto"/>
              <w:jc w:val="both"/>
              <w:rPr>
                <w:rFonts w:ascii="Arial" w:hAnsi="Arial" w:cs="Arial"/>
                <w:b/>
                <w:sz w:val="24"/>
                <w:szCs w:val="24"/>
                <w:lang w:val="en-GB"/>
              </w:rPr>
            </w:pPr>
            <w:r w:rsidRPr="00FE2CB3">
              <w:rPr>
                <w:rFonts w:ascii="Arial" w:hAnsi="Arial" w:cs="Arial"/>
                <w:b/>
                <w:sz w:val="24"/>
                <w:szCs w:val="24"/>
                <w:lang w:val="en-GB"/>
              </w:rPr>
              <w:t>Give short answers for the following questions:</w:t>
            </w:r>
          </w:p>
          <w:p w:rsidR="00FE2CB3" w:rsidRPr="00FE2CB3" w:rsidRDefault="00FE2CB3" w:rsidP="00FE2CB3">
            <w:pPr>
              <w:pStyle w:val="ListParagraph"/>
              <w:numPr>
                <w:ilvl w:val="0"/>
                <w:numId w:val="3"/>
              </w:numPr>
              <w:spacing w:before="100" w:beforeAutospacing="1" w:after="100" w:afterAutospacing="1" w:line="360" w:lineRule="auto"/>
              <w:jc w:val="both"/>
              <w:rPr>
                <w:rFonts w:ascii="Arial" w:hAnsi="Arial" w:cs="Arial"/>
                <w:b/>
                <w:sz w:val="24"/>
                <w:szCs w:val="24"/>
              </w:rPr>
            </w:pPr>
            <w:r w:rsidRPr="00FE2CB3">
              <w:rPr>
                <w:rFonts w:ascii="Arial" w:hAnsi="Arial" w:cs="Arial"/>
                <w:b/>
                <w:sz w:val="24"/>
                <w:szCs w:val="24"/>
                <w:lang w:val="en-GB"/>
              </w:rPr>
              <w:t>What is the difference between proactive and reactive investigations?</w:t>
            </w:r>
          </w:p>
          <w:p w:rsidR="00FE2CB3" w:rsidRPr="00FE2CB3" w:rsidRDefault="00FE2CB3" w:rsidP="00FE2CB3">
            <w:pPr>
              <w:autoSpaceDE w:val="0"/>
              <w:autoSpaceDN w:val="0"/>
              <w:adjustRightInd w:val="0"/>
              <w:spacing w:before="100" w:beforeAutospacing="1" w:after="100" w:afterAutospacing="1" w:line="360" w:lineRule="auto"/>
              <w:ind w:left="1077"/>
              <w:jc w:val="both"/>
              <w:rPr>
                <w:rFonts w:ascii="Arial" w:hAnsi="Arial" w:cs="Arial"/>
                <w:sz w:val="24"/>
                <w:szCs w:val="24"/>
                <w:lang w:val="en-GB"/>
              </w:rPr>
            </w:pPr>
            <w:r w:rsidRPr="00FE2CB3">
              <w:rPr>
                <w:rFonts w:ascii="Arial" w:hAnsi="Arial" w:cs="Arial"/>
                <w:sz w:val="24"/>
                <w:szCs w:val="24"/>
              </w:rPr>
              <w:t xml:space="preserve">Proactive investigation is conducted in response to information on ongoing criminal activity obtained through intelligence gathering or from reports of witnesses. In these situations, there is no imminent threat to witnesses, meaning that the investigators do not have to respond immediately. Investigators can therefore plan their activities to collect evidence according to operational plans and resources. </w:t>
            </w:r>
            <w:r w:rsidRPr="00FE2CB3">
              <w:rPr>
                <w:rFonts w:ascii="Arial" w:hAnsi="Arial" w:cs="Arial"/>
                <w:sz w:val="24"/>
                <w:szCs w:val="24"/>
                <w:lang w:val="en-GB"/>
              </w:rPr>
              <w:t>In a proactive investigation, the investigator accidentally comes across the financial crime while following leads on another case. Proactive investigation is more effective because the investigators control the investigation.</w:t>
            </w:r>
          </w:p>
          <w:p w:rsidR="00FE2CB3" w:rsidRPr="00FE2CB3" w:rsidRDefault="00FE2CB3" w:rsidP="00FE2CB3">
            <w:pPr>
              <w:autoSpaceDE w:val="0"/>
              <w:autoSpaceDN w:val="0"/>
              <w:adjustRightInd w:val="0"/>
              <w:spacing w:before="100" w:beforeAutospacing="1" w:after="100" w:afterAutospacing="1" w:line="360" w:lineRule="auto"/>
              <w:ind w:left="1077"/>
              <w:jc w:val="both"/>
              <w:rPr>
                <w:rFonts w:ascii="Arial" w:hAnsi="Arial" w:cs="Arial"/>
                <w:sz w:val="24"/>
                <w:szCs w:val="24"/>
                <w:lang w:val="en-GB"/>
              </w:rPr>
            </w:pPr>
            <w:r w:rsidRPr="00FE2CB3">
              <w:rPr>
                <w:rFonts w:ascii="Arial" w:hAnsi="Arial" w:cs="Arial"/>
                <w:sz w:val="24"/>
                <w:szCs w:val="24"/>
                <w:lang w:val="en-GB"/>
              </w:rPr>
              <w:t xml:space="preserve">Reactive investigation on the other hand is used when investigators receive information of criminal activity and there is urgent need to intervene. In such cases, too great a delay in response can result in serious consequences for victims. They are investigations that result from external notification that a crime has occurred. The investigator reacts only after the crime has been committed whether initiated by unhappy employees, by auditors, or corporate management. Reactive investigation is weaker than proactive investigation because victims may initially provide </w:t>
            </w:r>
            <w:r w:rsidRPr="00FE2CB3">
              <w:rPr>
                <w:rFonts w:ascii="Arial" w:hAnsi="Arial" w:cs="Arial"/>
                <w:sz w:val="24"/>
                <w:szCs w:val="24"/>
                <w:lang w:val="en-GB"/>
              </w:rPr>
              <w:lastRenderedPageBreak/>
              <w:t>information but later refuse to cooperate, informants may provide information which requires immediate response, enabling those at higher levels of the criminal organization to evade arrest or reactive measures may mean that evidence is lacking or not bale to be collected.</w:t>
            </w:r>
          </w:p>
          <w:p w:rsidR="00FE2CB3" w:rsidRPr="00FE2CB3" w:rsidRDefault="00FE2CB3" w:rsidP="00FE2CB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lang w:val="en-GB"/>
              </w:rPr>
            </w:pPr>
            <w:r w:rsidRPr="00FE2CB3">
              <w:rPr>
                <w:rFonts w:ascii="Arial" w:hAnsi="Arial" w:cs="Arial"/>
                <w:b/>
                <w:sz w:val="24"/>
                <w:szCs w:val="24"/>
                <w:lang w:val="en-GB"/>
              </w:rPr>
              <w:t>How would you differentiate between the weighted and unweighted solvability factors.</w:t>
            </w:r>
          </w:p>
          <w:p w:rsidR="00FE2CB3" w:rsidRPr="00FE2CB3" w:rsidRDefault="00FE2CB3" w:rsidP="00FE2CB3">
            <w:pPr>
              <w:pStyle w:val="ListParagraph"/>
              <w:spacing w:before="100" w:beforeAutospacing="1" w:after="100" w:afterAutospacing="1" w:line="360" w:lineRule="auto"/>
              <w:ind w:left="1077"/>
              <w:contextualSpacing w:val="0"/>
              <w:jc w:val="both"/>
              <w:rPr>
                <w:rFonts w:ascii="Arial" w:hAnsi="Arial" w:cs="Arial"/>
                <w:sz w:val="24"/>
                <w:szCs w:val="24"/>
              </w:rPr>
            </w:pPr>
            <w:r w:rsidRPr="00FE2CB3">
              <w:rPr>
                <w:rFonts w:ascii="Arial" w:hAnsi="Arial" w:cs="Arial"/>
                <w:sz w:val="24"/>
                <w:szCs w:val="24"/>
              </w:rPr>
              <w:t xml:space="preserve">Solvability factors are used in forensic science and are defined as elements of information about a crime which have proven in the past to be important in the successful solving of the crime. There are twelve main factors. Some of them include witness to a crime, knowledge of a suspect's name, and significant physical evidence, etc. </w:t>
            </w:r>
          </w:p>
          <w:p w:rsidR="00FE2CB3" w:rsidRPr="00FE2CB3" w:rsidRDefault="00FE2CB3" w:rsidP="00FE2CB3">
            <w:pPr>
              <w:autoSpaceDE w:val="0"/>
              <w:autoSpaceDN w:val="0"/>
              <w:adjustRightInd w:val="0"/>
              <w:spacing w:before="100" w:beforeAutospacing="1" w:after="100" w:afterAutospacing="1" w:line="360" w:lineRule="auto"/>
              <w:ind w:left="1077"/>
              <w:jc w:val="both"/>
              <w:rPr>
                <w:rFonts w:ascii="Arial" w:hAnsi="Arial" w:cs="Arial"/>
                <w:sz w:val="24"/>
                <w:szCs w:val="24"/>
                <w:lang w:val="en-GB"/>
              </w:rPr>
            </w:pPr>
            <w:r w:rsidRPr="00FE2CB3">
              <w:rPr>
                <w:rFonts w:ascii="Arial" w:hAnsi="Arial" w:cs="Arial"/>
                <w:sz w:val="24"/>
                <w:szCs w:val="24"/>
              </w:rPr>
              <w:t xml:space="preserve">Weighted solvability factors system recognizes that not all factors are equally important in determining solvability. For example, </w:t>
            </w:r>
            <w:r w:rsidRPr="00FE2CB3">
              <w:rPr>
                <w:rFonts w:ascii="Arial" w:hAnsi="Arial" w:cs="Arial"/>
                <w:sz w:val="24"/>
                <w:szCs w:val="24"/>
                <w:lang w:val="en-GB"/>
              </w:rPr>
              <w:t>the existence of a fingerprint at the scene might be more important in determining outcome than the availability of a witness.</w:t>
            </w:r>
          </w:p>
          <w:p w:rsidR="00FE2CB3" w:rsidRPr="00FE2CB3" w:rsidRDefault="00FE2CB3" w:rsidP="00FE2CB3">
            <w:pPr>
              <w:autoSpaceDE w:val="0"/>
              <w:autoSpaceDN w:val="0"/>
              <w:adjustRightInd w:val="0"/>
              <w:spacing w:before="100" w:beforeAutospacing="1" w:after="100" w:afterAutospacing="1" w:line="360" w:lineRule="auto"/>
              <w:ind w:left="1077"/>
              <w:jc w:val="both"/>
              <w:rPr>
                <w:rFonts w:ascii="Arial" w:hAnsi="Arial" w:cs="Arial"/>
                <w:sz w:val="24"/>
                <w:szCs w:val="24"/>
                <w:lang w:val="en-GB"/>
              </w:rPr>
            </w:pPr>
            <w:r w:rsidRPr="00FE2CB3">
              <w:rPr>
                <w:rFonts w:ascii="Arial" w:hAnsi="Arial" w:cs="Arial"/>
                <w:sz w:val="24"/>
                <w:szCs w:val="24"/>
                <w:lang w:val="en-GB"/>
              </w:rPr>
              <w:t>With unweighted solvability factors, each factor is as relatively important as the next. The existence of one or more factors determines whether the case receives further attention. Most unweighted solvability schemes are particular to each agency and are based on sketchy data.</w:t>
            </w:r>
          </w:p>
          <w:p w:rsidR="00FE2CB3" w:rsidRPr="00FE2CB3" w:rsidRDefault="00FE2CB3" w:rsidP="00FE2CB3">
            <w:pPr>
              <w:pStyle w:val="ListParagraph"/>
              <w:numPr>
                <w:ilvl w:val="0"/>
                <w:numId w:val="3"/>
              </w:numPr>
              <w:autoSpaceDE w:val="0"/>
              <w:autoSpaceDN w:val="0"/>
              <w:adjustRightInd w:val="0"/>
              <w:spacing w:before="100" w:beforeAutospacing="1" w:after="100" w:afterAutospacing="1" w:line="360" w:lineRule="auto"/>
              <w:ind w:left="1077"/>
              <w:jc w:val="both"/>
              <w:rPr>
                <w:rFonts w:ascii="Arial" w:hAnsi="Arial" w:cs="Arial"/>
                <w:b/>
                <w:sz w:val="24"/>
                <w:szCs w:val="24"/>
                <w:lang w:val="en-GB"/>
              </w:rPr>
            </w:pPr>
            <w:r w:rsidRPr="00FE2CB3">
              <w:rPr>
                <w:rFonts w:ascii="Arial" w:hAnsi="Arial" w:cs="Arial"/>
                <w:b/>
                <w:sz w:val="24"/>
                <w:szCs w:val="24"/>
                <w:lang w:val="en-GB"/>
              </w:rPr>
              <w:t>Goal setting and planning is very important for soundness of an investigative process. Why?</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b/>
                <w:sz w:val="24"/>
                <w:szCs w:val="24"/>
                <w:lang w:val="en-GB"/>
              </w:rPr>
            </w:pPr>
            <w:r w:rsidRPr="00FE2CB3">
              <w:rPr>
                <w:rFonts w:ascii="Arial" w:hAnsi="Arial" w:cs="Arial"/>
                <w:bCs/>
                <w:sz w:val="24"/>
                <w:szCs w:val="24"/>
              </w:rPr>
              <w:t>Planning</w:t>
            </w:r>
            <w:r w:rsidRPr="00FE2CB3">
              <w:rPr>
                <w:rFonts w:ascii="Arial" w:hAnsi="Arial" w:cs="Arial"/>
                <w:sz w:val="24"/>
                <w:szCs w:val="24"/>
              </w:rPr>
              <w:t xml:space="preserve"> also called </w:t>
            </w:r>
            <w:r w:rsidRPr="00FE2CB3">
              <w:rPr>
                <w:rFonts w:ascii="Arial" w:hAnsi="Arial" w:cs="Arial"/>
                <w:bCs/>
                <w:sz w:val="24"/>
                <w:szCs w:val="24"/>
              </w:rPr>
              <w:t>forethought</w:t>
            </w:r>
            <w:r w:rsidRPr="00FE2CB3">
              <w:rPr>
                <w:rFonts w:ascii="Arial" w:hAnsi="Arial" w:cs="Arial"/>
                <w:sz w:val="24"/>
                <w:szCs w:val="24"/>
              </w:rPr>
              <w:t xml:space="preserve"> is the process of thinking about and organizing the activities required to achieve a desired goal or objective. Planning is a fundamental property of intelligent behavior.</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lang w:val="en-GB"/>
              </w:rPr>
            </w:pPr>
            <w:r w:rsidRPr="00FE2CB3">
              <w:rPr>
                <w:rFonts w:ascii="Arial" w:hAnsi="Arial" w:cs="Arial"/>
                <w:sz w:val="24"/>
                <w:szCs w:val="24"/>
                <w:lang w:val="en-GB"/>
              </w:rPr>
              <w:t xml:space="preserve">In order for an investigator to be successful in his/her investigative process there is the need for setting of goals and planning. Even the most skilful and knowledgeable investigator who proceeds without planning with casual techniques is no more likely to succeed than one who is inexpert and unknowing but proceeds with a carefully thought out investigative </w:t>
            </w:r>
            <w:r w:rsidRPr="00FE2CB3">
              <w:rPr>
                <w:rFonts w:ascii="Arial" w:hAnsi="Arial" w:cs="Arial"/>
                <w:sz w:val="24"/>
                <w:szCs w:val="24"/>
                <w:lang w:val="en-GB"/>
              </w:rPr>
              <w:lastRenderedPageBreak/>
              <w:t>plan. This means that if you fail to plan then you plan to fail.</w:t>
            </w:r>
          </w:p>
          <w:p w:rsidR="00FE2CB3" w:rsidRPr="00FE2CB3" w:rsidRDefault="00FE2CB3" w:rsidP="00FE2CB3">
            <w:pPr>
              <w:pStyle w:val="ListParagraph"/>
              <w:numPr>
                <w:ilvl w:val="0"/>
                <w:numId w:val="3"/>
              </w:numPr>
              <w:autoSpaceDE w:val="0"/>
              <w:autoSpaceDN w:val="0"/>
              <w:adjustRightInd w:val="0"/>
              <w:spacing w:before="100" w:beforeAutospacing="1" w:after="100" w:afterAutospacing="1" w:line="360" w:lineRule="auto"/>
              <w:ind w:left="1077"/>
              <w:jc w:val="both"/>
              <w:rPr>
                <w:rFonts w:ascii="Arial" w:hAnsi="Arial" w:cs="Arial"/>
                <w:b/>
                <w:sz w:val="24"/>
                <w:szCs w:val="24"/>
                <w:lang w:val="en-GB"/>
              </w:rPr>
            </w:pPr>
            <w:r w:rsidRPr="00FE2CB3">
              <w:rPr>
                <w:rFonts w:ascii="Arial" w:hAnsi="Arial" w:cs="Arial"/>
                <w:b/>
                <w:sz w:val="24"/>
                <w:szCs w:val="24"/>
                <w:lang w:val="en-GB"/>
              </w:rPr>
              <w:t>Outline the major goals of an investigative plan.</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jc w:val="both"/>
              <w:rPr>
                <w:rFonts w:ascii="Arial" w:hAnsi="Arial" w:cs="Arial"/>
                <w:sz w:val="24"/>
                <w:szCs w:val="24"/>
                <w:lang w:val="en-GB"/>
              </w:rPr>
            </w:pPr>
            <w:r w:rsidRPr="00FE2CB3">
              <w:rPr>
                <w:rFonts w:ascii="Arial" w:hAnsi="Arial" w:cs="Arial"/>
                <w:sz w:val="24"/>
                <w:szCs w:val="24"/>
                <w:lang w:val="en-GB"/>
              </w:rPr>
              <w:t>The major goals of an investigative plan are as follows;</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lang w:val="en-GB"/>
              </w:rPr>
            </w:pPr>
            <w:r w:rsidRPr="00FE2CB3">
              <w:rPr>
                <w:rFonts w:ascii="Arial" w:hAnsi="Arial" w:cs="Arial"/>
                <w:iCs/>
                <w:sz w:val="24"/>
                <w:szCs w:val="24"/>
                <w:lang w:val="en-GB"/>
              </w:rPr>
              <w:t>Control:</w:t>
            </w:r>
            <w:r w:rsidRPr="00FE2CB3">
              <w:rPr>
                <w:rFonts w:ascii="Arial" w:hAnsi="Arial" w:cs="Arial"/>
                <w:sz w:val="24"/>
                <w:szCs w:val="24"/>
                <w:lang w:val="en-GB"/>
              </w:rPr>
              <w:t xml:space="preserve"> Financial crime investigations are living and breathing elements. They take on a character of their own once they are brought to life. A strong investigative plan recognizes this characteristic of fraud investigations and helps you manage it.</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lang w:val="en-GB"/>
              </w:rPr>
            </w:pPr>
            <w:r w:rsidRPr="00FE2CB3">
              <w:rPr>
                <w:rFonts w:ascii="Arial" w:hAnsi="Arial" w:cs="Arial"/>
                <w:iCs/>
                <w:sz w:val="24"/>
                <w:szCs w:val="24"/>
                <w:lang w:val="en-GB"/>
              </w:rPr>
              <w:t>Focus:</w:t>
            </w:r>
            <w:r w:rsidRPr="00FE2CB3">
              <w:rPr>
                <w:rFonts w:ascii="Arial" w:hAnsi="Arial" w:cs="Arial"/>
                <w:sz w:val="24"/>
                <w:szCs w:val="24"/>
                <w:lang w:val="en-GB"/>
              </w:rPr>
              <w:t xml:space="preserve"> A strong focus guarantees that neither repetition of investigative efforts nor mistake of clues obstructs the progress of the case. A strong investigative plan should focus your efforts in line with the objectives of the investigation.</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lang w:val="en-GB"/>
              </w:rPr>
            </w:pPr>
            <w:r w:rsidRPr="00FE2CB3">
              <w:rPr>
                <w:rFonts w:ascii="Arial" w:hAnsi="Arial" w:cs="Arial"/>
                <w:iCs/>
                <w:sz w:val="24"/>
                <w:szCs w:val="24"/>
                <w:lang w:val="en-GB"/>
              </w:rPr>
              <w:t>Adaptability:</w:t>
            </w:r>
            <w:r w:rsidRPr="00FE2CB3">
              <w:rPr>
                <w:rFonts w:ascii="Arial" w:hAnsi="Arial" w:cs="Arial"/>
                <w:sz w:val="24"/>
                <w:szCs w:val="24"/>
                <w:lang w:val="en-GB"/>
              </w:rPr>
              <w:t xml:space="preserve"> Financial crime investigations develop in keeping with their living nature. They may always grow or they may rarely shrink, though they will change. That is why all good investigative plans must have some built-in adaptability. Without adaptability, slight changes in the circumstances surrounding the investigation will render the plan useless. </w:t>
            </w:r>
          </w:p>
          <w:p w:rsidR="00FE2CB3" w:rsidRPr="00FE2CB3" w:rsidRDefault="00FE2CB3" w:rsidP="00FE2CB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lang w:val="en-GB"/>
              </w:rPr>
            </w:pPr>
            <w:r w:rsidRPr="00FE2CB3">
              <w:rPr>
                <w:rFonts w:ascii="Arial" w:hAnsi="Arial" w:cs="Arial"/>
                <w:b/>
                <w:sz w:val="24"/>
                <w:szCs w:val="24"/>
                <w:lang w:val="en-GB"/>
              </w:rPr>
              <w:t>Briefly describe the stages involved in planning an investigative plan.</w:t>
            </w:r>
          </w:p>
          <w:p w:rsidR="00FE2CB3" w:rsidRPr="00FE2CB3" w:rsidRDefault="00FE2CB3" w:rsidP="00FE2CB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FE2CB3">
              <w:rPr>
                <w:rFonts w:ascii="Arial" w:hAnsi="Arial" w:cs="Arial"/>
                <w:sz w:val="24"/>
                <w:szCs w:val="24"/>
                <w:lang w:val="en-GB"/>
              </w:rPr>
              <w:t xml:space="preserve">The first stage involved is to </w:t>
            </w:r>
            <w:r w:rsidRPr="00FE2CB3">
              <w:rPr>
                <w:rFonts w:ascii="Arial" w:hAnsi="Arial" w:cs="Arial"/>
                <w:b/>
                <w:sz w:val="24"/>
                <w:szCs w:val="24"/>
                <w:lang w:val="en-GB"/>
              </w:rPr>
              <w:t>develop an investigative plan</w:t>
            </w:r>
            <w:r w:rsidRPr="00FE2CB3">
              <w:rPr>
                <w:rFonts w:ascii="Arial" w:hAnsi="Arial" w:cs="Arial"/>
                <w:sz w:val="24"/>
                <w:szCs w:val="24"/>
                <w:lang w:val="en-GB"/>
              </w:rPr>
              <w:t xml:space="preserve">. Planning has already been defined as </w:t>
            </w:r>
            <w:r w:rsidRPr="00FE2CB3">
              <w:rPr>
                <w:rFonts w:ascii="Arial" w:hAnsi="Arial" w:cs="Arial"/>
                <w:sz w:val="24"/>
                <w:szCs w:val="24"/>
              </w:rPr>
              <w:t>the process of thinking about and organizing the activities required to achieving a desired goal or objective. It is important to plan to be able to be consistent in the investigation. When one plans ahead to determine what potential outside support is required it becomes easier to change certain particular decisions. When one fails to plan ahead of time there is the tendency of been under pressure of time which often lack the depth of vision that detailed study affords.</w:t>
            </w:r>
          </w:p>
          <w:p w:rsidR="00FE2CB3" w:rsidRPr="00FE2CB3" w:rsidRDefault="00FE2CB3" w:rsidP="00FE2CB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FE2CB3">
              <w:rPr>
                <w:rFonts w:ascii="Arial" w:hAnsi="Arial" w:cs="Arial"/>
                <w:sz w:val="24"/>
                <w:szCs w:val="24"/>
              </w:rPr>
              <w:t xml:space="preserve">The next stage is </w:t>
            </w:r>
            <w:r w:rsidRPr="00FE2CB3">
              <w:rPr>
                <w:rFonts w:ascii="Arial" w:hAnsi="Arial" w:cs="Arial"/>
                <w:b/>
                <w:sz w:val="24"/>
                <w:szCs w:val="24"/>
              </w:rPr>
              <w:t>financial planning</w:t>
            </w:r>
            <w:r w:rsidRPr="00FE2CB3">
              <w:rPr>
                <w:rFonts w:ascii="Arial" w:hAnsi="Arial" w:cs="Arial"/>
                <w:sz w:val="24"/>
                <w:szCs w:val="24"/>
              </w:rPr>
              <w:t xml:space="preserve">. A good developed investigative plan will save money. Identification of potentially expensive issues early in the investigation allows you to make key financial decisions at a time when alternative approaches can be easily considered. For example, although a phone tap might be perfect investigative tool to achieve your overall </w:t>
            </w:r>
            <w:r w:rsidRPr="00FE2CB3">
              <w:rPr>
                <w:rFonts w:ascii="Arial" w:hAnsi="Arial" w:cs="Arial"/>
                <w:sz w:val="24"/>
                <w:szCs w:val="24"/>
              </w:rPr>
              <w:lastRenderedPageBreak/>
              <w:t>investigative goal, failure to access the net cost of that approach could be costly.</w:t>
            </w:r>
          </w:p>
          <w:p w:rsidR="00FE2CB3" w:rsidRPr="00FE2CB3" w:rsidRDefault="00FE2CB3" w:rsidP="00FE2CB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FE2CB3">
              <w:rPr>
                <w:rFonts w:ascii="Arial" w:hAnsi="Arial" w:cs="Arial"/>
                <w:sz w:val="24"/>
                <w:szCs w:val="24"/>
              </w:rPr>
              <w:t xml:space="preserve">Financial planning is followed by </w:t>
            </w:r>
            <w:r w:rsidRPr="00FE2CB3">
              <w:rPr>
                <w:rFonts w:ascii="Arial" w:hAnsi="Arial" w:cs="Arial"/>
                <w:b/>
                <w:sz w:val="24"/>
                <w:szCs w:val="24"/>
              </w:rPr>
              <w:t>staff planning</w:t>
            </w:r>
            <w:r w:rsidRPr="00FE2CB3">
              <w:rPr>
                <w:rFonts w:ascii="Arial" w:hAnsi="Arial" w:cs="Arial"/>
                <w:sz w:val="24"/>
                <w:szCs w:val="24"/>
              </w:rPr>
              <w:t>. Once you have planned out the overall scope and direction of the investigation it becomes much easier to predict the needs of the staff and to assemble an investigation team designed to proceed efficiently with the investigation. Early identification of employee issues helps to ensure an efficient investigation.</w:t>
            </w:r>
          </w:p>
          <w:p w:rsidR="00FE2CB3" w:rsidRPr="00FE2CB3" w:rsidRDefault="00FE2CB3" w:rsidP="00FE2CB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FE2CB3">
              <w:rPr>
                <w:rFonts w:ascii="Arial" w:hAnsi="Arial" w:cs="Arial"/>
                <w:sz w:val="24"/>
                <w:szCs w:val="24"/>
              </w:rPr>
              <w:t xml:space="preserve">The last stage is </w:t>
            </w:r>
            <w:r w:rsidRPr="00FE2CB3">
              <w:rPr>
                <w:rFonts w:ascii="Arial" w:hAnsi="Arial" w:cs="Arial"/>
                <w:b/>
                <w:sz w:val="24"/>
                <w:szCs w:val="24"/>
              </w:rPr>
              <w:t>technology planning</w:t>
            </w:r>
            <w:r w:rsidRPr="00FE2CB3">
              <w:rPr>
                <w:rFonts w:ascii="Arial" w:hAnsi="Arial" w:cs="Arial"/>
                <w:sz w:val="24"/>
                <w:szCs w:val="24"/>
              </w:rPr>
              <w:t>. As technology advances, investigators must employ more than manpower. To achieve this, investment should be made in the field of technology.  An example of such investment would be computer upgrades. While investments in new technology usually occur at predetermined intervals and must be evaluated based on cost/benefit, temporary investments are not so definite.</w:t>
            </w:r>
          </w:p>
          <w:p w:rsidR="00FE2CB3" w:rsidRPr="00FE2CB3" w:rsidRDefault="00FE2CB3" w:rsidP="00FE2CB3">
            <w:pPr>
              <w:pStyle w:val="ListParagraph"/>
              <w:numPr>
                <w:ilvl w:val="0"/>
                <w:numId w:val="3"/>
              </w:numPr>
              <w:autoSpaceDE w:val="0"/>
              <w:autoSpaceDN w:val="0"/>
              <w:adjustRightInd w:val="0"/>
              <w:spacing w:before="100" w:beforeAutospacing="1" w:after="100" w:afterAutospacing="1" w:line="360" w:lineRule="auto"/>
              <w:ind w:left="1077"/>
              <w:jc w:val="both"/>
              <w:rPr>
                <w:rFonts w:ascii="Arial" w:hAnsi="Arial" w:cs="Arial"/>
                <w:b/>
                <w:sz w:val="24"/>
                <w:szCs w:val="24"/>
                <w:lang w:val="en-GB"/>
              </w:rPr>
            </w:pPr>
            <w:r w:rsidRPr="00FE2CB3">
              <w:rPr>
                <w:rFonts w:ascii="Arial" w:hAnsi="Arial" w:cs="Arial"/>
                <w:b/>
                <w:sz w:val="24"/>
                <w:szCs w:val="24"/>
                <w:lang w:val="en-GB"/>
              </w:rPr>
              <w:t>Describe the three main areas of intelligence gathering process.</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bCs/>
                <w:sz w:val="24"/>
                <w:szCs w:val="24"/>
              </w:rPr>
            </w:pPr>
            <w:r w:rsidRPr="00FE2CB3">
              <w:rPr>
                <w:rFonts w:ascii="Arial" w:hAnsi="Arial" w:cs="Arial"/>
                <w:bCs/>
                <w:sz w:val="24"/>
                <w:szCs w:val="24"/>
              </w:rPr>
              <w:t>The three main areas of intelligence gathering process are;</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rPr>
            </w:pPr>
            <w:r w:rsidRPr="00FE2CB3">
              <w:rPr>
                <w:rFonts w:ascii="Arial" w:hAnsi="Arial" w:cs="Arial"/>
                <w:b/>
                <w:bCs/>
                <w:sz w:val="24"/>
                <w:szCs w:val="24"/>
              </w:rPr>
              <w:t>Surveillance:</w:t>
            </w:r>
            <w:r w:rsidRPr="00FE2CB3">
              <w:rPr>
                <w:rFonts w:ascii="Arial" w:hAnsi="Arial" w:cs="Arial"/>
                <w:sz w:val="24"/>
                <w:szCs w:val="24"/>
              </w:rPr>
              <w:t xml:space="preserve"> is the monitoring of the behavior, activities, or other changing information, usually of the victim, the suspect or the suspect’s associates to learn more about your case. This can include observation from a distance by means of electronic equipment, or interception of electronically transmitted information. Conducting surveillance may uncover items such as banking or financial organizations, buildings and other real estate etc.</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rPr>
            </w:pPr>
            <w:r w:rsidRPr="00FE2CB3">
              <w:rPr>
                <w:rFonts w:ascii="Arial" w:hAnsi="Arial" w:cs="Arial"/>
                <w:b/>
                <w:sz w:val="24"/>
                <w:szCs w:val="24"/>
              </w:rPr>
              <w:t>Database Searches:</w:t>
            </w:r>
            <w:r w:rsidRPr="00FE2CB3">
              <w:rPr>
                <w:rFonts w:ascii="Arial" w:hAnsi="Arial" w:cs="Arial"/>
                <w:sz w:val="24"/>
                <w:szCs w:val="24"/>
              </w:rPr>
              <w:t xml:space="preserve"> a database is basically a collection of information organized in such a way that a computer program can quickly select desired pieces of data. Data is use for tracing people, calculating their buying preference and altering their behavior. Investigators seek to tap into this wealth of personal information to try and piece together a picture of their target.</w:t>
            </w:r>
          </w:p>
          <w:p w:rsidR="00FE2CB3" w:rsidRPr="00FE2CB3" w:rsidRDefault="00FE2CB3" w:rsidP="00FE2CB3">
            <w:pPr>
              <w:pStyle w:val="ListParagraph"/>
              <w:autoSpaceDE w:val="0"/>
              <w:autoSpaceDN w:val="0"/>
              <w:adjustRightInd w:val="0"/>
              <w:spacing w:before="100" w:beforeAutospacing="1" w:after="100" w:afterAutospacing="1" w:line="360" w:lineRule="auto"/>
              <w:ind w:left="1077"/>
              <w:contextualSpacing w:val="0"/>
              <w:jc w:val="both"/>
              <w:rPr>
                <w:rFonts w:ascii="Arial" w:hAnsi="Arial" w:cs="Arial"/>
                <w:sz w:val="24"/>
                <w:szCs w:val="24"/>
              </w:rPr>
            </w:pPr>
            <w:r w:rsidRPr="00FE2CB3">
              <w:rPr>
                <w:rFonts w:ascii="Arial" w:hAnsi="Arial" w:cs="Arial"/>
                <w:b/>
                <w:sz w:val="24"/>
                <w:szCs w:val="24"/>
              </w:rPr>
              <w:lastRenderedPageBreak/>
              <w:t>Garbage Collection:</w:t>
            </w:r>
            <w:r w:rsidRPr="00FE2CB3">
              <w:rPr>
                <w:rFonts w:ascii="Arial" w:hAnsi="Arial" w:cs="Arial"/>
                <w:sz w:val="24"/>
                <w:szCs w:val="24"/>
              </w:rPr>
              <w:t xml:space="preserve"> this job is degrading, however, if time is taken to go through trash of papers, receipts, and other personal items that are meaningless, at the end when put together can offer a detailed picture of the suspect’s deeds. People throw away important documents, illegal imports receipts and evidence.</w:t>
            </w: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rPr>
            </w:pPr>
            <w:r w:rsidRPr="00FE2CB3">
              <w:rPr>
                <w:rFonts w:ascii="Arial" w:hAnsi="Arial" w:cs="Arial"/>
                <w:b/>
                <w:sz w:val="24"/>
                <w:szCs w:val="24"/>
                <w:lang w:val="en-GB"/>
              </w:rPr>
              <w:t>QUESTION 2</w:t>
            </w:r>
          </w:p>
          <w:p w:rsidR="00FE2CB3" w:rsidRP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b/>
                <w:sz w:val="24"/>
                <w:szCs w:val="24"/>
                <w:lang w:val="en-GB"/>
              </w:rPr>
            </w:pPr>
            <w:r w:rsidRPr="00FE2CB3">
              <w:rPr>
                <w:rFonts w:ascii="Arial" w:hAnsi="Arial" w:cs="Arial"/>
                <w:b/>
                <w:sz w:val="24"/>
                <w:szCs w:val="24"/>
                <w:lang w:val="en-GB"/>
              </w:rPr>
              <w:t xml:space="preserve">Write short notes on the followings: </w:t>
            </w:r>
          </w:p>
          <w:p w:rsidR="00FE2CB3" w:rsidRPr="00FE2CB3" w:rsidRDefault="00FE2CB3" w:rsidP="00FE2CB3">
            <w:pPr>
              <w:pStyle w:val="ListParagraph"/>
              <w:numPr>
                <w:ilvl w:val="0"/>
                <w:numId w:val="4"/>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Private databases</w:t>
            </w:r>
          </w:p>
          <w:p w:rsidR="00FE2CB3" w:rsidRPr="00FE2CB3" w:rsidRDefault="00FE2CB3" w:rsidP="00FE2CB3">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 xml:space="preserve">These are restricted access databases. They include both government and commercial sources. They are highly classified information. Private databases usually contain a broad range of information. Example of a commercial private database is the Auto track service provided by Database Technologies. </w:t>
            </w:r>
          </w:p>
          <w:p w:rsidR="00FE2CB3" w:rsidRPr="00FE2CB3" w:rsidRDefault="00FE2CB3" w:rsidP="00FE2CB3">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pStyle w:val="ListParagraph"/>
              <w:numPr>
                <w:ilvl w:val="0"/>
                <w:numId w:val="4"/>
              </w:numPr>
              <w:autoSpaceDE w:val="0"/>
              <w:autoSpaceDN w:val="0"/>
              <w:adjustRightInd w:val="0"/>
              <w:spacing w:before="100" w:beforeAutospacing="1" w:after="100" w:afterAutospacing="1" w:line="360" w:lineRule="auto"/>
              <w:contextualSpacing w:val="0"/>
              <w:jc w:val="both"/>
              <w:rPr>
                <w:rFonts w:ascii="Arial" w:hAnsi="Arial" w:cs="Arial"/>
                <w:sz w:val="24"/>
                <w:szCs w:val="24"/>
                <w:lang w:val="en-GB"/>
              </w:rPr>
            </w:pPr>
            <w:r w:rsidRPr="00FE2CB3">
              <w:rPr>
                <w:rFonts w:ascii="Arial" w:hAnsi="Arial" w:cs="Arial"/>
                <w:sz w:val="24"/>
                <w:szCs w:val="24"/>
                <w:lang w:val="en-GB"/>
              </w:rPr>
              <w:t>Public databases</w:t>
            </w:r>
          </w:p>
          <w:p w:rsidR="00FE2CB3" w:rsidRPr="00FE2CB3" w:rsidRDefault="00FE2CB3" w:rsidP="00FE2CB3">
            <w:pPr>
              <w:autoSpaceDE w:val="0"/>
              <w:autoSpaceDN w:val="0"/>
              <w:adjustRightInd w:val="0"/>
              <w:spacing w:before="100" w:beforeAutospacing="1" w:after="100" w:afterAutospacing="1" w:line="360" w:lineRule="auto"/>
              <w:ind w:left="720"/>
              <w:jc w:val="both"/>
              <w:rPr>
                <w:rFonts w:ascii="Arial" w:hAnsi="Arial" w:cs="Arial"/>
                <w:sz w:val="24"/>
                <w:szCs w:val="24"/>
                <w:lang w:val="en-GB"/>
              </w:rPr>
            </w:pPr>
            <w:r w:rsidRPr="00FE2CB3">
              <w:rPr>
                <w:rFonts w:ascii="Arial" w:hAnsi="Arial" w:cs="Arial"/>
                <w:sz w:val="24"/>
                <w:szCs w:val="24"/>
                <w:lang w:val="en-GB"/>
              </w:rPr>
              <w:t>As the name implies this database is not access restricted. These databases are accessible to the general public. As society moves forward in the digital age; more and more government entities are making public record information available over the Internet</w:t>
            </w:r>
            <w:r w:rsidRPr="00FE2CB3">
              <w:rPr>
                <w:rFonts w:ascii="Arial" w:hAnsi="Arial" w:cs="Arial"/>
                <w:i/>
                <w:iCs/>
                <w:sz w:val="24"/>
                <w:szCs w:val="24"/>
                <w:lang w:val="en-GB"/>
              </w:rPr>
              <w:t>.</w:t>
            </w:r>
            <w:r w:rsidRPr="00FE2CB3">
              <w:rPr>
                <w:rFonts w:ascii="Arial" w:hAnsi="Arial" w:cs="Arial"/>
                <w:sz w:val="24"/>
                <w:szCs w:val="24"/>
                <w:lang w:val="en-GB"/>
              </w:rPr>
              <w:t xml:space="preserve"> Property and tax assessment records are routinely available through the county clerk’s offices. Corporate filings are only a mouse-click away. Most agencies allow searches for free, and many provide free downloads, while others charge a minimal copying fee for getting these records.</w:t>
            </w:r>
          </w:p>
          <w:p w:rsidR="00FE2CB3" w:rsidRP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b/>
                <w:sz w:val="24"/>
                <w:szCs w:val="24"/>
                <w:lang w:val="en-GB"/>
              </w:rPr>
            </w:pPr>
            <w:r w:rsidRPr="00FE2CB3">
              <w:rPr>
                <w:rFonts w:ascii="Arial" w:hAnsi="Arial" w:cs="Arial"/>
                <w:b/>
                <w:sz w:val="24"/>
                <w:szCs w:val="24"/>
                <w:lang w:val="en-GB"/>
              </w:rPr>
              <w:t>QUESTION 3</w:t>
            </w:r>
          </w:p>
          <w:p w:rsidR="00FE2CB3" w:rsidRP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b/>
                <w:sz w:val="24"/>
                <w:szCs w:val="24"/>
                <w:lang w:val="en-GB"/>
              </w:rPr>
            </w:pPr>
            <w:r w:rsidRPr="00FE2CB3">
              <w:rPr>
                <w:rFonts w:ascii="Arial" w:hAnsi="Arial" w:cs="Arial"/>
                <w:b/>
                <w:sz w:val="24"/>
                <w:szCs w:val="24"/>
                <w:lang w:val="en-GB"/>
              </w:rPr>
              <w:t>“Financial crime investigations generally result in higher volumes of evidence and more complicated theories of evidence than non-financial crime.’ Discuss</w:t>
            </w:r>
          </w:p>
          <w:p w:rsidR="00FE2CB3" w:rsidRPr="00FE2CB3" w:rsidRDefault="00FE2CB3" w:rsidP="00FE2CB3">
            <w:pPr>
              <w:spacing w:before="100" w:beforeAutospacing="1" w:after="100" w:afterAutospacing="1" w:line="360" w:lineRule="auto"/>
              <w:contextualSpacing/>
              <w:jc w:val="both"/>
              <w:rPr>
                <w:rFonts w:ascii="Arial" w:hAnsi="Arial" w:cs="Arial"/>
                <w:sz w:val="24"/>
                <w:szCs w:val="24"/>
              </w:rPr>
            </w:pPr>
            <w:r w:rsidRPr="00FE2CB3">
              <w:rPr>
                <w:rFonts w:ascii="Arial" w:hAnsi="Arial" w:cs="Arial"/>
                <w:bCs/>
                <w:sz w:val="24"/>
                <w:szCs w:val="24"/>
              </w:rPr>
              <w:t>Financial crimes</w:t>
            </w:r>
            <w:r w:rsidRPr="00FE2CB3">
              <w:rPr>
                <w:rFonts w:ascii="Arial" w:hAnsi="Arial" w:cs="Arial"/>
                <w:sz w:val="24"/>
                <w:szCs w:val="24"/>
              </w:rPr>
              <w:t xml:space="preserve"> are crimes against property, involving the unlawful conversion of the ownership of property (belonging to one person) to one's own personal use and benefit. Financial crimes may be carried out by individuals, corporations, or by organized crime groups.</w:t>
            </w: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rPr>
            </w:pPr>
            <w:r w:rsidRPr="00FE2CB3">
              <w:rPr>
                <w:rFonts w:ascii="Arial" w:hAnsi="Arial" w:cs="Arial"/>
                <w:sz w:val="24"/>
                <w:szCs w:val="24"/>
              </w:rPr>
              <w:lastRenderedPageBreak/>
              <w:t>With financial crime a substantial time is required to collect huge amounts of financial records to support a conviction.</w:t>
            </w: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rPr>
            </w:pPr>
            <w:r w:rsidRPr="00FE2CB3">
              <w:rPr>
                <w:rFonts w:ascii="Arial" w:hAnsi="Arial" w:cs="Arial"/>
                <w:sz w:val="24"/>
                <w:szCs w:val="24"/>
              </w:rPr>
              <w:t xml:space="preserve">Unlike non-financial crime, financial crime involves developing a fraud investigation plan that can be used to collect adequate and competent evidence, such as forensic evidence. It also involves an examination of accounting transactions, records, documents, and data (if applicable) to acquire adequate evidence to ascertain whether the fraud identified actually occurred. Financial crime investigations result in high volume of evidence because it also involves interviewing eyewitnesses. </w:t>
            </w:r>
          </w:p>
          <w:p w:rsidR="00FE2CB3" w:rsidRP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contextualSpacing/>
              <w:jc w:val="both"/>
              <w:rPr>
                <w:rFonts w:ascii="Arial" w:hAnsi="Arial" w:cs="Arial"/>
                <w:b/>
                <w:sz w:val="24"/>
                <w:szCs w:val="24"/>
                <w:lang w:val="en-GB"/>
              </w:rPr>
            </w:pPr>
            <w:r w:rsidRPr="00FE2CB3">
              <w:rPr>
                <w:rFonts w:ascii="Arial" w:hAnsi="Arial" w:cs="Arial"/>
                <w:b/>
                <w:sz w:val="24"/>
                <w:szCs w:val="24"/>
                <w:lang w:val="en-GB"/>
              </w:rPr>
              <w:t>CASE STUDY</w:t>
            </w:r>
          </w:p>
          <w:p w:rsidR="00FE2CB3" w:rsidRPr="00FE2CB3" w:rsidRDefault="00FE2CB3" w:rsidP="00FE2CB3">
            <w:pPr>
              <w:pStyle w:val="ListParagraph"/>
              <w:numPr>
                <w:ilvl w:val="0"/>
                <w:numId w:val="5"/>
              </w:numPr>
              <w:autoSpaceDE w:val="0"/>
              <w:autoSpaceDN w:val="0"/>
              <w:adjustRightInd w:val="0"/>
              <w:spacing w:before="100" w:beforeAutospacing="1" w:after="100" w:afterAutospacing="1" w:line="360" w:lineRule="auto"/>
              <w:rPr>
                <w:rFonts w:ascii="Arial" w:hAnsi="Arial" w:cs="Arial"/>
                <w:b/>
                <w:sz w:val="24"/>
                <w:szCs w:val="24"/>
              </w:rPr>
            </w:pPr>
            <w:r w:rsidRPr="00FE2CB3">
              <w:rPr>
                <w:rFonts w:ascii="Arial" w:hAnsi="Arial" w:cs="Arial"/>
                <w:b/>
                <w:sz w:val="24"/>
                <w:szCs w:val="24"/>
              </w:rPr>
              <w:t>What do you think could be lacking in the Pub Owner’s self-devised accounting system?</w:t>
            </w:r>
          </w:p>
          <w:p w:rsidR="00FE2CB3" w:rsidRPr="00FE2CB3" w:rsidRDefault="00FE2CB3" w:rsidP="00FE2CB3">
            <w:pPr>
              <w:pStyle w:val="ListParagraph"/>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An accounting system is comprised of accounting records (checkbooks, journals, ledgers, etc.) and a series of processes and procedures assigned to staff, volunteers, and/or outside professionals. The goals of the accounting system are to ensure that financial data and economic transactions are properly entered into the accounting records and that financial reports necessary for management are prepared accurately and in a timely fashion.</w:t>
            </w:r>
          </w:p>
          <w:p w:rsidR="00FE2CB3" w:rsidRPr="00FE2CB3" w:rsidRDefault="00FE2CB3" w:rsidP="00FE2CB3">
            <w:pPr>
              <w:pStyle w:val="ListParagraph"/>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Some of the things that could be lacking in the Pub Owner’s self-devised accounting system include:</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Chart of Accounts. The chart of accounts is a list of each item which the accounting system tracks.</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FE2CB3">
              <w:rPr>
                <w:rFonts w:ascii="Arial" w:hAnsi="Arial" w:cs="Arial"/>
                <w:sz w:val="24"/>
                <w:szCs w:val="24"/>
              </w:rPr>
              <w:t>General Ledger. The general ledger organizes information by account. The chart of accounts acts as the table of contents to the general ledger. Many software packages allow the user to produce a general ledger which shows each transaction included in the balance of each account.</w:t>
            </w:r>
          </w:p>
          <w:p w:rsidR="00FE2CB3" w:rsidRDefault="00FE2CB3" w:rsidP="00FE2CB3">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Journals and Subsidiary Journals. Journals, also called books of original entry, are used to systematically record all accounting transactions before they are entered into the general ledger.</w:t>
            </w:r>
          </w:p>
          <w:p w:rsidR="00C047AB" w:rsidRPr="00FE2CB3" w:rsidRDefault="00C047AB" w:rsidP="00C047AB">
            <w:pPr>
              <w:pStyle w:val="ListParagraph"/>
              <w:autoSpaceDE w:val="0"/>
              <w:autoSpaceDN w:val="0"/>
              <w:adjustRightInd w:val="0"/>
              <w:spacing w:before="100" w:beforeAutospacing="1" w:after="100" w:afterAutospacing="1" w:line="360" w:lineRule="auto"/>
              <w:contextualSpacing w:val="0"/>
              <w:jc w:val="both"/>
              <w:rPr>
                <w:rFonts w:ascii="Arial" w:hAnsi="Arial" w:cs="Arial"/>
                <w:sz w:val="24"/>
                <w:szCs w:val="24"/>
              </w:rPr>
            </w:pP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Checkbook. In very small organizations, the checkbook may serve as a combined ledger and journal. Most financial transactions will pass through the checkbook, where receipts are deposited and from which disbursements are made</w:t>
            </w:r>
          </w:p>
          <w:p w:rsidR="00FE2CB3" w:rsidRDefault="00FE2CB3" w:rsidP="00FE2CB3">
            <w:pPr>
              <w:pStyle w:val="ListParagraph"/>
              <w:numPr>
                <w:ilvl w:val="0"/>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Accounting Procedures Manual. The accounting procedures manual is a record of the policies and procedures for handling financial transactions. The manual can be a simple description of how financial functions are handled (e.g., paying bills, depositing cash and transferring money between funds) and who is responsible for what.</w:t>
            </w:r>
          </w:p>
          <w:p w:rsidR="00C047AB" w:rsidRPr="00FE2CB3" w:rsidRDefault="00C047AB" w:rsidP="00C047AB">
            <w:pPr>
              <w:pStyle w:val="ListParagraph"/>
              <w:autoSpaceDE w:val="0"/>
              <w:autoSpaceDN w:val="0"/>
              <w:adjustRightInd w:val="0"/>
              <w:spacing w:before="100" w:beforeAutospacing="1" w:after="100" w:afterAutospacing="1" w:line="360" w:lineRule="auto"/>
              <w:contextualSpacing w:val="0"/>
              <w:jc w:val="both"/>
              <w:rPr>
                <w:rFonts w:ascii="Arial" w:hAnsi="Arial" w:cs="Arial"/>
                <w:sz w:val="24"/>
                <w:szCs w:val="24"/>
              </w:rPr>
            </w:pPr>
          </w:p>
          <w:p w:rsidR="00FE2CB3" w:rsidRPr="00FE2CB3" w:rsidRDefault="00FE2CB3" w:rsidP="00FE2CB3">
            <w:pPr>
              <w:pStyle w:val="ListParagraph"/>
              <w:numPr>
                <w:ilvl w:val="0"/>
                <w:numId w:val="5"/>
              </w:numPr>
              <w:autoSpaceDE w:val="0"/>
              <w:autoSpaceDN w:val="0"/>
              <w:adjustRightInd w:val="0"/>
              <w:spacing w:before="100" w:beforeAutospacing="1" w:after="100" w:afterAutospacing="1" w:line="360" w:lineRule="auto"/>
              <w:jc w:val="both"/>
              <w:rPr>
                <w:rFonts w:ascii="Arial" w:hAnsi="Arial" w:cs="Arial"/>
                <w:b/>
                <w:sz w:val="24"/>
                <w:szCs w:val="24"/>
              </w:rPr>
            </w:pPr>
            <w:r w:rsidRPr="00FE2CB3">
              <w:rPr>
                <w:rFonts w:ascii="Arial" w:hAnsi="Arial" w:cs="Arial"/>
                <w:b/>
                <w:sz w:val="24"/>
                <w:szCs w:val="24"/>
              </w:rPr>
              <w:t>Give some possible causes of shortfall other than theft by Byron.</w:t>
            </w:r>
          </w:p>
          <w:p w:rsidR="00FE2CB3" w:rsidRPr="00FE2CB3" w:rsidRDefault="00FE2CB3" w:rsidP="00FE2CB3">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Some of the possible causes of the cash shortfall could be as a result of:</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Overdue invoices.</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Wrong posting of transactions</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Inadequate bank reconciliation</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Over-payment of bills</w:t>
            </w:r>
          </w:p>
          <w:p w:rsidR="00FE2CB3" w:rsidRPr="00FE2CB3" w:rsidRDefault="00FE2CB3" w:rsidP="00FE2CB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FE2CB3">
              <w:rPr>
                <w:rFonts w:ascii="Arial" w:hAnsi="Arial" w:cs="Arial"/>
                <w:sz w:val="24"/>
                <w:szCs w:val="24"/>
                <w:lang w:val="en-GB"/>
              </w:rPr>
              <w:t>Understatement of income.</w:t>
            </w: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sz w:val="24"/>
                <w:szCs w:val="24"/>
                <w:lang w:val="en-GB"/>
              </w:rPr>
            </w:pPr>
          </w:p>
          <w:p w:rsidR="00FE2CB3" w:rsidRPr="00FE2CB3" w:rsidRDefault="00FE2CB3" w:rsidP="00FE2CB3">
            <w:pPr>
              <w:autoSpaceDE w:val="0"/>
              <w:autoSpaceDN w:val="0"/>
              <w:adjustRightInd w:val="0"/>
              <w:spacing w:before="100" w:beforeAutospacing="1" w:after="100" w:afterAutospacing="1" w:line="360" w:lineRule="auto"/>
              <w:jc w:val="both"/>
              <w:rPr>
                <w:rFonts w:ascii="Arial" w:hAnsi="Arial" w:cs="Arial"/>
                <w:b/>
                <w:sz w:val="24"/>
                <w:szCs w:val="24"/>
                <w:lang w:val="en-GB"/>
              </w:rPr>
            </w:pPr>
            <w:r w:rsidRPr="00FE2CB3">
              <w:rPr>
                <w:rFonts w:ascii="Arial" w:hAnsi="Arial" w:cs="Arial"/>
                <w:b/>
                <w:sz w:val="24"/>
                <w:szCs w:val="24"/>
                <w:lang w:val="en-GB"/>
              </w:rPr>
              <w:lastRenderedPageBreak/>
              <w:t>References</w:t>
            </w:r>
          </w:p>
          <w:p w:rsidR="00FE2CB3" w:rsidRPr="00FE2CB3" w:rsidRDefault="00FE2CB3" w:rsidP="00FE2CB3">
            <w:pPr>
              <w:pStyle w:val="ListParagraph"/>
              <w:numPr>
                <w:ilvl w:val="0"/>
                <w:numId w:val="6"/>
              </w:numPr>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Albrecht, W. Steve, Albrecht, Conan C., Albrecht, Chad O., Fraud Examination, 2nd Edition, (Thompson South-Western, Mason, OH - 2006).</w:t>
            </w:r>
          </w:p>
          <w:p w:rsidR="00FE2CB3" w:rsidRPr="00FE2CB3" w:rsidRDefault="00FE2CB3" w:rsidP="00FE2CB3">
            <w:pPr>
              <w:pStyle w:val="ListParagraph"/>
              <w:numPr>
                <w:ilvl w:val="0"/>
                <w:numId w:val="6"/>
              </w:numPr>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Singleton, T., et al (2006) Fraud Auditing and Forensic Accounting</w:t>
            </w:r>
          </w:p>
          <w:p w:rsidR="00FE2CB3" w:rsidRPr="00FE2CB3" w:rsidRDefault="00FE2CB3" w:rsidP="00FE2CB3">
            <w:pPr>
              <w:pStyle w:val="ListParagraph"/>
              <w:numPr>
                <w:ilvl w:val="0"/>
                <w:numId w:val="6"/>
              </w:numPr>
              <w:spacing w:before="100" w:beforeAutospacing="1" w:after="100" w:afterAutospacing="1" w:line="360" w:lineRule="auto"/>
              <w:contextualSpacing w:val="0"/>
              <w:jc w:val="both"/>
              <w:rPr>
                <w:rFonts w:ascii="Arial" w:hAnsi="Arial" w:cs="Arial"/>
                <w:sz w:val="24"/>
                <w:szCs w:val="24"/>
              </w:rPr>
            </w:pPr>
            <w:r w:rsidRPr="00FE2CB3">
              <w:rPr>
                <w:rFonts w:ascii="Arial" w:hAnsi="Arial" w:cs="Arial"/>
                <w:sz w:val="24"/>
                <w:szCs w:val="24"/>
              </w:rPr>
              <w:t>Pedneault, S., et al (2012) Forensic Accounting and Fraud Investigation for Non-Experts</w:t>
            </w:r>
          </w:p>
          <w:p w:rsidR="00FE2CB3" w:rsidRPr="00FE2CB3" w:rsidRDefault="002D228D" w:rsidP="00FE2CB3">
            <w:pPr>
              <w:pStyle w:val="ListParagraph"/>
              <w:numPr>
                <w:ilvl w:val="0"/>
                <w:numId w:val="6"/>
              </w:numPr>
              <w:autoSpaceDE w:val="0"/>
              <w:autoSpaceDN w:val="0"/>
              <w:adjustRightInd w:val="0"/>
              <w:spacing w:before="100" w:beforeAutospacing="1" w:after="100" w:afterAutospacing="1" w:line="360" w:lineRule="auto"/>
              <w:contextualSpacing w:val="0"/>
              <w:jc w:val="both"/>
              <w:rPr>
                <w:rFonts w:ascii="Arial" w:hAnsi="Arial" w:cs="Arial"/>
                <w:sz w:val="24"/>
                <w:szCs w:val="24"/>
              </w:rPr>
            </w:pPr>
            <w:hyperlink r:id="rId10" w:history="1">
              <w:r w:rsidR="00FE2CB3" w:rsidRPr="00FE2CB3">
                <w:rPr>
                  <w:rStyle w:val="Hyperlink"/>
                  <w:rFonts w:ascii="Arial" w:hAnsi="Arial" w:cs="Arial"/>
                  <w:sz w:val="24"/>
                  <w:szCs w:val="24"/>
                </w:rPr>
                <w:t>http://en.wikipedia.org/wiki/Public_database</w:t>
              </w:r>
            </w:hyperlink>
          </w:p>
          <w:p w:rsidR="00FE2CB3" w:rsidRPr="00FE2CB3" w:rsidRDefault="002D228D" w:rsidP="00FE2CB3">
            <w:pPr>
              <w:pStyle w:val="ListParagraph"/>
              <w:numPr>
                <w:ilvl w:val="0"/>
                <w:numId w:val="6"/>
              </w:numPr>
              <w:spacing w:before="100" w:beforeAutospacing="1" w:after="100" w:afterAutospacing="1" w:line="360" w:lineRule="auto"/>
              <w:contextualSpacing w:val="0"/>
              <w:rPr>
                <w:rFonts w:ascii="Arial" w:hAnsi="Arial" w:cs="Arial"/>
                <w:sz w:val="24"/>
                <w:szCs w:val="24"/>
              </w:rPr>
            </w:pPr>
            <w:hyperlink r:id="rId11" w:tgtFrame="_blank" w:history="1">
              <w:r w:rsidR="00FE2CB3" w:rsidRPr="00FE2CB3">
                <w:rPr>
                  <w:rStyle w:val="Hyperlink"/>
                  <w:rFonts w:ascii="Arial" w:hAnsi="Arial" w:cs="Arial"/>
                  <w:sz w:val="24"/>
                  <w:szCs w:val="24"/>
                </w:rPr>
                <w:t>forensicandinvestigativeauditing.blogspot.com</w:t>
              </w:r>
            </w:hyperlink>
            <w:r w:rsidR="00FE2CB3" w:rsidRPr="00FE2CB3">
              <w:rPr>
                <w:rFonts w:ascii="Arial" w:hAnsi="Arial" w:cs="Arial"/>
                <w:sz w:val="24"/>
                <w:szCs w:val="24"/>
              </w:rPr>
              <w:t xml:space="preserve"> </w:t>
            </w:r>
          </w:p>
          <w:p w:rsidR="00FE2CB3" w:rsidRPr="00FE2CB3" w:rsidRDefault="00FE2CB3" w:rsidP="00FE2CB3">
            <w:pPr>
              <w:pStyle w:val="ListParagraph"/>
              <w:numPr>
                <w:ilvl w:val="0"/>
                <w:numId w:val="6"/>
              </w:numPr>
              <w:spacing w:before="100" w:beforeAutospacing="1" w:after="100" w:afterAutospacing="1" w:line="360" w:lineRule="auto"/>
              <w:contextualSpacing w:val="0"/>
              <w:rPr>
                <w:rFonts w:ascii="Arial" w:hAnsi="Arial" w:cs="Arial"/>
                <w:sz w:val="24"/>
                <w:szCs w:val="24"/>
              </w:rPr>
            </w:pPr>
            <w:r w:rsidRPr="00FE2CB3">
              <w:rPr>
                <w:rFonts w:ascii="Arial" w:hAnsi="Arial" w:cs="Arial"/>
                <w:sz w:val="24"/>
                <w:szCs w:val="24"/>
              </w:rPr>
              <w:t>Study Material (UNIT 5)</w:t>
            </w:r>
          </w:p>
          <w:p w:rsidR="00FE2CB3" w:rsidRPr="00FE2CB3" w:rsidRDefault="00FE2CB3" w:rsidP="00FE2CB3">
            <w:pPr>
              <w:pStyle w:val="ListParagraph"/>
              <w:spacing w:before="100" w:beforeAutospacing="1" w:after="100" w:afterAutospacing="1" w:line="360" w:lineRule="auto"/>
              <w:contextualSpacing w:val="0"/>
              <w:rPr>
                <w:rFonts w:ascii="Arial" w:hAnsi="Arial" w:cs="Arial"/>
                <w:sz w:val="24"/>
                <w:szCs w:val="24"/>
              </w:rPr>
            </w:pPr>
          </w:p>
          <w:p w:rsidR="00FE2CB3" w:rsidRPr="00FE2CB3" w:rsidRDefault="00FE2CB3" w:rsidP="00FE2CB3">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sz w:val="24"/>
                <w:szCs w:val="24"/>
              </w:rPr>
            </w:pPr>
          </w:p>
          <w:p w:rsidR="00CC2FB3" w:rsidRPr="00FE2CB3" w:rsidRDefault="00CC2FB3" w:rsidP="00A851DA">
            <w:pPr>
              <w:rPr>
                <w:rFonts w:ascii="Arial" w:hAnsi="Arial" w:cs="Arial"/>
                <w:b/>
                <w:sz w:val="24"/>
                <w:szCs w:val="24"/>
              </w:rPr>
            </w:pPr>
          </w:p>
        </w:tc>
      </w:tr>
    </w:tbl>
    <w:p w:rsidR="00503D7E" w:rsidRPr="00FE2CB3"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FE2CB3" w:rsidRDefault="00AE1481" w:rsidP="00A851DA">
      <w:pPr>
        <w:autoSpaceDE w:val="0"/>
        <w:autoSpaceDN w:val="0"/>
        <w:adjustRightInd w:val="0"/>
        <w:spacing w:after="0" w:line="240" w:lineRule="auto"/>
        <w:rPr>
          <w:rFonts w:ascii="Arial" w:hAnsi="Arial" w:cs="Arial"/>
          <w:b/>
          <w:bCs/>
          <w:color w:val="002060"/>
          <w:sz w:val="24"/>
          <w:szCs w:val="24"/>
          <w:lang w:val="en-US"/>
        </w:rPr>
      </w:pPr>
      <w:r w:rsidRPr="00FE2CB3">
        <w:rPr>
          <w:rFonts w:ascii="Arial" w:hAnsi="Arial" w:cs="Arial"/>
          <w:b/>
          <w:bCs/>
          <w:color w:val="002060"/>
          <w:sz w:val="24"/>
          <w:szCs w:val="24"/>
          <w:lang w:val="en-US"/>
        </w:rPr>
        <w:t>Student</w:t>
      </w:r>
      <w:r w:rsidR="00A851DA" w:rsidRPr="00FE2CB3">
        <w:rPr>
          <w:rFonts w:ascii="Arial" w:hAnsi="Arial" w:cs="Arial"/>
          <w:b/>
          <w:bCs/>
          <w:color w:val="002060"/>
          <w:sz w:val="24"/>
          <w:szCs w:val="24"/>
          <w:lang w:val="en-US"/>
        </w:rPr>
        <w:t xml:space="preserve"> Statement:</w:t>
      </w:r>
    </w:p>
    <w:p w:rsidR="00A851DA" w:rsidRPr="00FE2CB3"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FE2CB3" w:rsidRDefault="00405895" w:rsidP="00A851DA">
      <w:pPr>
        <w:autoSpaceDE w:val="0"/>
        <w:autoSpaceDN w:val="0"/>
        <w:adjustRightInd w:val="0"/>
        <w:spacing w:after="0" w:line="240" w:lineRule="auto"/>
        <w:rPr>
          <w:rFonts w:ascii="Arial" w:hAnsi="Arial" w:cs="Arial"/>
          <w:color w:val="000000"/>
          <w:sz w:val="24"/>
          <w:szCs w:val="24"/>
          <w:lang w:val="en-US"/>
        </w:rPr>
      </w:pPr>
      <w:r w:rsidRPr="00FE2CB3">
        <w:rPr>
          <w:rFonts w:ascii="Arial" w:hAnsi="Arial" w:cs="Arial"/>
          <w:color w:val="000000"/>
          <w:sz w:val="24"/>
          <w:szCs w:val="24"/>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FE2CB3" w:rsidTr="00405895">
        <w:tc>
          <w:tcPr>
            <w:tcW w:w="2310" w:type="dxa"/>
            <w:shd w:val="clear" w:color="auto" w:fill="D9D9D9" w:themeFill="background1" w:themeFillShade="D9"/>
          </w:tcPr>
          <w:p w:rsidR="00405895" w:rsidRPr="00FE2CB3" w:rsidRDefault="00405895" w:rsidP="00A851DA">
            <w:pPr>
              <w:rPr>
                <w:rFonts w:ascii="Arial" w:hAnsi="Arial" w:cs="Arial"/>
                <w:color w:val="000000"/>
                <w:sz w:val="24"/>
                <w:szCs w:val="24"/>
              </w:rPr>
            </w:pPr>
            <w:r w:rsidRPr="00FE2CB3">
              <w:rPr>
                <w:rFonts w:ascii="Arial" w:hAnsi="Arial" w:cs="Arial"/>
                <w:color w:val="000000"/>
                <w:sz w:val="24"/>
                <w:szCs w:val="24"/>
              </w:rPr>
              <w:t>Student Signature</w:t>
            </w:r>
          </w:p>
        </w:tc>
        <w:tc>
          <w:tcPr>
            <w:tcW w:w="4035" w:type="dxa"/>
          </w:tcPr>
          <w:p w:rsidR="00405895" w:rsidRPr="00FE2CB3" w:rsidRDefault="00C02E74" w:rsidP="00A851DA">
            <w:pPr>
              <w:rPr>
                <w:rFonts w:ascii="Arial" w:hAnsi="Arial" w:cs="Arial"/>
                <w:color w:val="000000"/>
                <w:sz w:val="24"/>
                <w:szCs w:val="24"/>
              </w:rPr>
            </w:pPr>
            <w:r w:rsidRPr="00FE2CB3">
              <w:rPr>
                <w:rFonts w:ascii="Arial" w:hAnsi="Arial" w:cs="Arial"/>
                <w:color w:val="000000"/>
                <w:sz w:val="24"/>
                <w:szCs w:val="24"/>
              </w:rPr>
              <w:t>Emmanuel Nsobila</w:t>
            </w:r>
          </w:p>
        </w:tc>
        <w:tc>
          <w:tcPr>
            <w:tcW w:w="1276" w:type="dxa"/>
            <w:shd w:val="clear" w:color="auto" w:fill="D9D9D9" w:themeFill="background1" w:themeFillShade="D9"/>
          </w:tcPr>
          <w:p w:rsidR="00405895" w:rsidRPr="00FE2CB3" w:rsidRDefault="00405895" w:rsidP="00A851DA">
            <w:pPr>
              <w:rPr>
                <w:rFonts w:ascii="Arial" w:hAnsi="Arial" w:cs="Arial"/>
                <w:color w:val="000000"/>
                <w:sz w:val="24"/>
                <w:szCs w:val="24"/>
              </w:rPr>
            </w:pPr>
            <w:r w:rsidRPr="00FE2CB3">
              <w:rPr>
                <w:rFonts w:ascii="Arial" w:hAnsi="Arial" w:cs="Arial"/>
                <w:color w:val="000000"/>
                <w:sz w:val="24"/>
                <w:szCs w:val="24"/>
              </w:rPr>
              <w:t>Date</w:t>
            </w:r>
          </w:p>
        </w:tc>
        <w:tc>
          <w:tcPr>
            <w:tcW w:w="1621" w:type="dxa"/>
          </w:tcPr>
          <w:p w:rsidR="00405895" w:rsidRPr="00FE2CB3" w:rsidRDefault="00FE2CB3" w:rsidP="00A851DA">
            <w:pPr>
              <w:rPr>
                <w:rFonts w:ascii="Arial" w:hAnsi="Arial" w:cs="Arial"/>
                <w:color w:val="000000"/>
                <w:sz w:val="24"/>
                <w:szCs w:val="24"/>
              </w:rPr>
            </w:pPr>
            <w:r w:rsidRPr="00FE2CB3">
              <w:rPr>
                <w:rFonts w:ascii="Arial" w:hAnsi="Arial" w:cs="Arial"/>
                <w:color w:val="000000"/>
                <w:sz w:val="24"/>
                <w:szCs w:val="24"/>
              </w:rPr>
              <w:t>08-10-2014</w:t>
            </w:r>
          </w:p>
        </w:tc>
      </w:tr>
    </w:tbl>
    <w:p w:rsidR="00A851DA" w:rsidRPr="00FE2CB3" w:rsidRDefault="00A851DA" w:rsidP="00A851DA">
      <w:pPr>
        <w:rPr>
          <w:rFonts w:ascii="Arial" w:hAnsi="Arial" w:cs="Arial"/>
          <w:color w:val="000000"/>
          <w:sz w:val="24"/>
          <w:szCs w:val="24"/>
          <w:lang w:val="en-US"/>
        </w:rPr>
      </w:pPr>
    </w:p>
    <w:p w:rsidR="00A851DA" w:rsidRPr="00FE2CB3" w:rsidRDefault="00503D7E" w:rsidP="00503D7E">
      <w:pPr>
        <w:shd w:val="clear" w:color="auto" w:fill="D9D9D9" w:themeFill="background1" w:themeFillShade="D9"/>
        <w:rPr>
          <w:rFonts w:ascii="Arial" w:hAnsi="Arial" w:cs="Arial"/>
          <w:b/>
          <w:sz w:val="24"/>
          <w:szCs w:val="24"/>
          <w:lang w:val="en-US"/>
        </w:rPr>
      </w:pPr>
      <w:r w:rsidRPr="00FE2CB3">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FE2CB3" w:rsidTr="00B0415E">
        <w:trPr>
          <w:trHeight w:val="249"/>
        </w:trPr>
        <w:tc>
          <w:tcPr>
            <w:tcW w:w="4621" w:type="dxa"/>
            <w:shd w:val="clear" w:color="auto" w:fill="D9D9D9" w:themeFill="background1" w:themeFillShade="D9"/>
          </w:tcPr>
          <w:p w:rsidR="00503D7E" w:rsidRPr="00FE2CB3" w:rsidRDefault="00503D7E" w:rsidP="00503D7E">
            <w:pPr>
              <w:rPr>
                <w:rFonts w:ascii="Arial" w:hAnsi="Arial" w:cs="Arial"/>
                <w:b/>
                <w:color w:val="002060"/>
                <w:sz w:val="24"/>
                <w:szCs w:val="24"/>
              </w:rPr>
            </w:pPr>
            <w:r w:rsidRPr="00FE2CB3">
              <w:rPr>
                <w:rFonts w:ascii="Arial" w:hAnsi="Arial" w:cs="Arial"/>
                <w:b/>
                <w:color w:val="002060"/>
                <w:sz w:val="24"/>
                <w:szCs w:val="24"/>
              </w:rPr>
              <w:t>Total Marks</w:t>
            </w:r>
          </w:p>
        </w:tc>
        <w:tc>
          <w:tcPr>
            <w:tcW w:w="4621" w:type="dxa"/>
          </w:tcPr>
          <w:p w:rsidR="00503D7E" w:rsidRPr="00FE2CB3" w:rsidRDefault="00503D7E" w:rsidP="00503D7E">
            <w:pPr>
              <w:rPr>
                <w:rFonts w:ascii="Arial" w:hAnsi="Arial" w:cs="Arial"/>
                <w:sz w:val="24"/>
                <w:szCs w:val="24"/>
              </w:rPr>
            </w:pPr>
          </w:p>
        </w:tc>
      </w:tr>
      <w:tr w:rsidR="00503D7E" w:rsidRPr="00FE2CB3" w:rsidTr="00B0415E">
        <w:tc>
          <w:tcPr>
            <w:tcW w:w="4621" w:type="dxa"/>
            <w:shd w:val="clear" w:color="auto" w:fill="D9D9D9" w:themeFill="background1" w:themeFillShade="D9"/>
          </w:tcPr>
          <w:p w:rsidR="00503D7E" w:rsidRPr="00FE2CB3" w:rsidRDefault="00503D7E" w:rsidP="00503D7E">
            <w:pPr>
              <w:rPr>
                <w:rFonts w:ascii="Arial" w:hAnsi="Arial" w:cs="Arial"/>
                <w:b/>
                <w:color w:val="002060"/>
                <w:sz w:val="24"/>
                <w:szCs w:val="24"/>
              </w:rPr>
            </w:pPr>
            <w:r w:rsidRPr="00FE2CB3">
              <w:rPr>
                <w:rFonts w:ascii="Arial" w:hAnsi="Arial" w:cs="Arial"/>
                <w:b/>
                <w:color w:val="002060"/>
                <w:sz w:val="24"/>
                <w:szCs w:val="24"/>
              </w:rPr>
              <w:t>Marks Obtained</w:t>
            </w:r>
          </w:p>
        </w:tc>
        <w:tc>
          <w:tcPr>
            <w:tcW w:w="4621" w:type="dxa"/>
          </w:tcPr>
          <w:p w:rsidR="00503D7E" w:rsidRPr="00FE2CB3" w:rsidRDefault="00503D7E" w:rsidP="00503D7E">
            <w:pPr>
              <w:rPr>
                <w:rFonts w:ascii="Arial" w:hAnsi="Arial" w:cs="Arial"/>
                <w:sz w:val="24"/>
                <w:szCs w:val="24"/>
              </w:rPr>
            </w:pPr>
          </w:p>
        </w:tc>
      </w:tr>
      <w:tr w:rsidR="00503D7E" w:rsidRPr="00FE2CB3" w:rsidTr="00B0415E">
        <w:tc>
          <w:tcPr>
            <w:tcW w:w="4621" w:type="dxa"/>
            <w:shd w:val="clear" w:color="auto" w:fill="D9D9D9" w:themeFill="background1" w:themeFillShade="D9"/>
          </w:tcPr>
          <w:p w:rsidR="00503D7E" w:rsidRPr="00FE2CB3" w:rsidRDefault="00B0415E" w:rsidP="00503D7E">
            <w:pPr>
              <w:rPr>
                <w:rFonts w:ascii="Arial" w:hAnsi="Arial" w:cs="Arial"/>
                <w:b/>
                <w:color w:val="002060"/>
                <w:sz w:val="24"/>
                <w:szCs w:val="24"/>
              </w:rPr>
            </w:pPr>
            <w:r w:rsidRPr="00FE2CB3">
              <w:rPr>
                <w:rFonts w:ascii="Arial" w:hAnsi="Arial" w:cs="Arial"/>
                <w:b/>
                <w:color w:val="002060"/>
                <w:sz w:val="24"/>
                <w:szCs w:val="24"/>
              </w:rPr>
              <w:t>Percentage / Grade</w:t>
            </w:r>
          </w:p>
        </w:tc>
        <w:tc>
          <w:tcPr>
            <w:tcW w:w="4621" w:type="dxa"/>
          </w:tcPr>
          <w:p w:rsidR="00503D7E" w:rsidRPr="00FE2CB3" w:rsidRDefault="00503D7E" w:rsidP="00503D7E">
            <w:pPr>
              <w:rPr>
                <w:rFonts w:ascii="Arial" w:hAnsi="Arial" w:cs="Arial"/>
                <w:sz w:val="24"/>
                <w:szCs w:val="24"/>
              </w:rPr>
            </w:pPr>
          </w:p>
        </w:tc>
      </w:tr>
    </w:tbl>
    <w:p w:rsidR="00607874" w:rsidRPr="00FE2CB3" w:rsidRDefault="00607874" w:rsidP="00503D7E">
      <w:pPr>
        <w:rPr>
          <w:rFonts w:ascii="Arial" w:hAnsi="Arial" w:cs="Arial"/>
          <w:sz w:val="24"/>
          <w:szCs w:val="24"/>
        </w:rPr>
      </w:pPr>
    </w:p>
    <w:sectPr w:rsidR="00607874" w:rsidRPr="00FE2CB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9E4" w:rsidRDefault="00FA69E4" w:rsidP="00CB4D0A">
      <w:pPr>
        <w:spacing w:after="0" w:line="240" w:lineRule="auto"/>
      </w:pPr>
      <w:r>
        <w:separator/>
      </w:r>
    </w:p>
  </w:endnote>
  <w:endnote w:type="continuationSeparator" w:id="0">
    <w:p w:rsidR="00FA69E4" w:rsidRDefault="00FA69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9E4" w:rsidRDefault="00FA69E4" w:rsidP="00CB4D0A">
      <w:pPr>
        <w:spacing w:after="0" w:line="240" w:lineRule="auto"/>
      </w:pPr>
      <w:r>
        <w:separator/>
      </w:r>
    </w:p>
  </w:footnote>
  <w:footnote w:type="continuationSeparator" w:id="0">
    <w:p w:rsidR="00FA69E4" w:rsidRDefault="00FA69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40A5F"/>
    <w:multiLevelType w:val="hybridMultilevel"/>
    <w:tmpl w:val="7C10F4F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2940FE"/>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447FEE"/>
    <w:multiLevelType w:val="hybridMultilevel"/>
    <w:tmpl w:val="5B60F04C"/>
    <w:lvl w:ilvl="0" w:tplc="50D0A44A">
      <w:start w:val="1"/>
      <w:numFmt w:val="upperRoman"/>
      <w:lvlText w:val="%1."/>
      <w:lvlJc w:val="left"/>
      <w:pPr>
        <w:ind w:left="1080" w:hanging="720"/>
      </w:pPr>
      <w:rPr>
        <w:rFonts w:ascii="Times New Roman" w:hAnsi="Times New Roman" w:cs="Times New Roman"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B8606F"/>
    <w:multiLevelType w:val="hybridMultilevel"/>
    <w:tmpl w:val="A7D07A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120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670F7"/>
    <w:rsid w:val="00182416"/>
    <w:rsid w:val="00187EB4"/>
    <w:rsid w:val="001F0481"/>
    <w:rsid w:val="0020451E"/>
    <w:rsid w:val="00206B9D"/>
    <w:rsid w:val="0023259C"/>
    <w:rsid w:val="002B0BD7"/>
    <w:rsid w:val="002B573D"/>
    <w:rsid w:val="002C5CB2"/>
    <w:rsid w:val="002D228D"/>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82D7A"/>
    <w:rsid w:val="008A60B4"/>
    <w:rsid w:val="008B3C31"/>
    <w:rsid w:val="008B64FE"/>
    <w:rsid w:val="008F1E8D"/>
    <w:rsid w:val="00935BF7"/>
    <w:rsid w:val="0095442C"/>
    <w:rsid w:val="00983942"/>
    <w:rsid w:val="009C37E0"/>
    <w:rsid w:val="00A14B66"/>
    <w:rsid w:val="00A65CF7"/>
    <w:rsid w:val="00A851DA"/>
    <w:rsid w:val="00AA0DD3"/>
    <w:rsid w:val="00AB497F"/>
    <w:rsid w:val="00AC7D5B"/>
    <w:rsid w:val="00AE1481"/>
    <w:rsid w:val="00B0415E"/>
    <w:rsid w:val="00B04678"/>
    <w:rsid w:val="00BC46DF"/>
    <w:rsid w:val="00C02E74"/>
    <w:rsid w:val="00C03577"/>
    <w:rsid w:val="00C047AB"/>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2827"/>
    <w:rsid w:val="00EB3925"/>
    <w:rsid w:val="00FA69E4"/>
    <w:rsid w:val="00FE2CB3"/>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E2CB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orensicandinvestigativeauditing.blogspot.com/2011/06/solvability-factors.html" TargetMode="External"/><Relationship Id="rId5" Type="http://schemas.openxmlformats.org/officeDocument/2006/relationships/settings" Target="settings.xml"/><Relationship Id="rId10" Type="http://schemas.openxmlformats.org/officeDocument/2006/relationships/hyperlink" Target="http://www.google.com.gh/url?sa=t&amp;rct=j&amp;q=&amp;esrc=s&amp;source=web&amp;cd=1&amp;cad=rja&amp;uact=8&amp;ved=0CB8QkA4oADAA&amp;url=http%3A%2F%2Fen.wikipedia.org%2Fwiki%2FPublic_database&amp;ei=z3IYVIf-L9GnyASJhIHICw&amp;usg=AFQjCNEbdQgs491Wa-CRbG5xvLONa6F7ag&amp;bvm=bv.75097201,d.aWw"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419B4-C6B7-4F31-8B54-2F3DBF345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1885</Words>
  <Characters>10750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10</cp:revision>
  <dcterms:created xsi:type="dcterms:W3CDTF">2014-08-29T15:23:00Z</dcterms:created>
  <dcterms:modified xsi:type="dcterms:W3CDTF">2014-10-09T00:42:00Z</dcterms:modified>
</cp:coreProperties>
</file>