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7C5C"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sidRPr="003238A1">
              <w:rPr>
                <w:rFonts w:ascii="Arial" w:hAnsi="Arial" w:cs="Arial"/>
              </w:rPr>
              <w:t>Gemma Banham</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F10B12" w:rsidRPr="003238A1" w:rsidRDefault="00F10B12" w:rsidP="00F10B12">
            <w:pPr>
              <w:pStyle w:val="Default"/>
              <w:rPr>
                <w:rFonts w:ascii="Arial" w:hAnsi="Arial" w:cs="Arial"/>
              </w:rPr>
            </w:pPr>
            <w:r>
              <w:rPr>
                <w:rFonts w:ascii="Arial" w:hAnsi="Arial" w:cs="Arial"/>
              </w:rPr>
              <w:t>1503</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Pr>
                <w:rFonts w:ascii="Arial" w:hAnsi="Arial" w:cs="Arial"/>
              </w:rPr>
              <w:t>Diploma in Forensic Accounting</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rsidR="00F10B12" w:rsidRPr="00F10B12" w:rsidRDefault="00276F03" w:rsidP="00F10B12">
            <w:pPr>
              <w:rPr>
                <w:rFonts w:ascii="Arial" w:hAnsi="Arial" w:cs="Arial"/>
                <w:sz w:val="24"/>
                <w:szCs w:val="24"/>
              </w:rPr>
            </w:pPr>
            <w:r>
              <w:rPr>
                <w:rFonts w:ascii="Arial" w:hAnsi="Arial" w:cs="Arial"/>
                <w:sz w:val="24"/>
                <w:szCs w:val="24"/>
              </w:rP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3"/>
        <w:gridCol w:w="1247"/>
        <w:gridCol w:w="161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0B12" w:rsidP="00A851DA">
            <w:pPr>
              <w:rPr>
                <w:rFonts w:cs="Bliss-Regular"/>
                <w:color w:val="000000"/>
              </w:rPr>
            </w:pPr>
            <w:r>
              <w:rPr>
                <w:rFonts w:ascii="Arial" w:hAnsi="Arial" w:cs="Arial"/>
                <w:color w:val="000000"/>
                <w:sz w:val="24"/>
                <w:szCs w:val="24"/>
              </w:rPr>
              <w:t>Gemma Banham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76F03" w:rsidP="00A851DA">
            <w:pPr>
              <w:rPr>
                <w:rFonts w:cs="Bliss-Regular"/>
                <w:color w:val="000000"/>
              </w:rPr>
            </w:pPr>
            <w:r>
              <w:rPr>
                <w:rFonts w:ascii="Arial" w:hAnsi="Arial" w:cs="Arial"/>
                <w:color w:val="000000"/>
                <w:sz w:val="24"/>
                <w:szCs w:val="24"/>
              </w:rPr>
              <w:t>30</w:t>
            </w:r>
            <w:r w:rsidR="000A53B2">
              <w:rPr>
                <w:rFonts w:ascii="Arial" w:hAnsi="Arial" w:cs="Arial"/>
                <w:color w:val="000000"/>
                <w:sz w:val="24"/>
                <w:szCs w:val="24"/>
              </w:rPr>
              <w:t>/12</w:t>
            </w:r>
            <w:r w:rsidR="00F10B12">
              <w:rPr>
                <w:rFonts w:ascii="Arial" w:hAnsi="Arial" w:cs="Arial"/>
                <w:color w:val="000000"/>
                <w:sz w:val="24"/>
                <w:szCs w:val="24"/>
              </w:rPr>
              <w:t>/2015</w:t>
            </w:r>
          </w:p>
        </w:tc>
      </w:tr>
    </w:tbl>
    <w:p w:rsidR="00AF205E" w:rsidRDefault="00AF205E" w:rsidP="00AF205E">
      <w:pPr>
        <w:spacing w:line="360" w:lineRule="auto"/>
        <w:rPr>
          <w:rFonts w:cs="Bliss-Regular"/>
          <w:color w:val="000000"/>
          <w:lang w:val="en-US"/>
        </w:rPr>
      </w:pPr>
    </w:p>
    <w:p w:rsidR="00276F03" w:rsidRDefault="00276F03" w:rsidP="00276F03">
      <w:pPr>
        <w:spacing w:line="360" w:lineRule="auto"/>
        <w:rPr>
          <w:rFonts w:ascii="Arial" w:hAnsi="Arial" w:cs="Arial"/>
          <w:sz w:val="24"/>
          <w:szCs w:val="24"/>
        </w:rPr>
      </w:pPr>
      <w:r w:rsidRPr="00C10A2B">
        <w:rPr>
          <w:rFonts w:ascii="Arial" w:hAnsi="Arial" w:cs="Arial"/>
          <w:sz w:val="24"/>
          <w:szCs w:val="24"/>
        </w:rPr>
        <w:lastRenderedPageBreak/>
        <w:t>Q1.</w:t>
      </w:r>
    </w:p>
    <w:p w:rsidR="00276F03" w:rsidRDefault="00276F03" w:rsidP="00276F03">
      <w:pPr>
        <w:pStyle w:val="ListParagraph"/>
        <w:numPr>
          <w:ilvl w:val="0"/>
          <w:numId w:val="13"/>
        </w:numPr>
        <w:spacing w:after="160" w:line="360" w:lineRule="auto"/>
        <w:rPr>
          <w:rFonts w:ascii="Arial" w:hAnsi="Arial" w:cs="Arial"/>
          <w:sz w:val="24"/>
          <w:szCs w:val="24"/>
        </w:rPr>
      </w:pPr>
      <w:r>
        <w:rPr>
          <w:rFonts w:ascii="Arial" w:hAnsi="Arial" w:cs="Arial"/>
          <w:sz w:val="24"/>
          <w:szCs w:val="24"/>
        </w:rPr>
        <w:t xml:space="preserve">Non-financial sources for evidence in an investigation would include interviews, handwriting analysis, document examination and even the physiological traits of the fraudster. Physiological traits refers to the behaviour, expressions and communications which might indicate involvement in the fraud. Body and eye language can also give indications of if a person is being honest in interview, together with best practices during interviews reliable interpretations can be made. One of the documents that could be analysed is any statements provided by witnesses, victims or suspects. The technique of statement analysis can be used to detect deception rather than determining truthfulness. This process is applicable to written statements, audio-recorded statements, or videotaped statements. </w:t>
      </w:r>
    </w:p>
    <w:p w:rsidR="00276F03" w:rsidRDefault="00276F03" w:rsidP="00276F03">
      <w:pPr>
        <w:pStyle w:val="ListParagraph"/>
        <w:numPr>
          <w:ilvl w:val="0"/>
          <w:numId w:val="13"/>
        </w:numPr>
        <w:spacing w:after="160" w:line="360" w:lineRule="auto"/>
        <w:rPr>
          <w:rFonts w:ascii="Arial" w:hAnsi="Arial" w:cs="Arial"/>
          <w:sz w:val="24"/>
          <w:szCs w:val="24"/>
        </w:rPr>
      </w:pPr>
      <w:r w:rsidRPr="00EA4527">
        <w:rPr>
          <w:rFonts w:ascii="Arial" w:hAnsi="Arial" w:cs="Arial"/>
          <w:sz w:val="24"/>
          <w:szCs w:val="24"/>
        </w:rPr>
        <w:t>An individual will show their emotions through their gestures and facial expressions, a person is usually unaware of these movements or behaviours. They can</w:t>
      </w:r>
      <w:r>
        <w:rPr>
          <w:rFonts w:ascii="Arial" w:hAnsi="Arial" w:cs="Arial"/>
          <w:sz w:val="24"/>
          <w:szCs w:val="24"/>
        </w:rPr>
        <w:t xml:space="preserve"> include pitch of voice,</w:t>
      </w:r>
      <w:r w:rsidRPr="00EA4527">
        <w:rPr>
          <w:rFonts w:ascii="Arial" w:hAnsi="Arial" w:cs="Arial"/>
          <w:sz w:val="24"/>
          <w:szCs w:val="24"/>
        </w:rPr>
        <w:t xml:space="preserve"> speed of talking, crossing arms, sweating or stuttering. Some of these gestures, relating to stress levels such as excessive blinking or hesitation, can be indicative of deception but are not factual evidence of guilt. A well trained fraud investigator will watch for signs of stress through a process called calibration, they will compare the body language present during base questions in comparison to the more focused questions, similar to a lie detector test. </w:t>
      </w:r>
      <w:r>
        <w:rPr>
          <w:rFonts w:ascii="Arial" w:hAnsi="Arial" w:cs="Arial"/>
          <w:sz w:val="24"/>
          <w:szCs w:val="24"/>
        </w:rPr>
        <w:t xml:space="preserve">Auditors and forensic accountants are usually </w:t>
      </w:r>
      <w:r>
        <w:rPr>
          <w:rFonts w:ascii="Arial" w:hAnsi="Arial" w:cs="Arial"/>
          <w:sz w:val="24"/>
          <w:szCs w:val="24"/>
        </w:rPr>
        <w:t>skeptical</w:t>
      </w:r>
      <w:r>
        <w:rPr>
          <w:rFonts w:ascii="Arial" w:hAnsi="Arial" w:cs="Arial"/>
          <w:sz w:val="24"/>
          <w:szCs w:val="24"/>
        </w:rPr>
        <w:t xml:space="preserve"> by nature and are therefore likely to read a person’s body language as deceptive, given this and the fact that body language is a deception-detecting tool, rather than guilt proving, it is not admissible in court as evidence.</w:t>
      </w:r>
    </w:p>
    <w:p w:rsidR="00276F03" w:rsidRDefault="00276F03" w:rsidP="00276F03">
      <w:pPr>
        <w:pStyle w:val="ListParagraph"/>
        <w:numPr>
          <w:ilvl w:val="0"/>
          <w:numId w:val="13"/>
        </w:numPr>
        <w:spacing w:after="160" w:line="360" w:lineRule="auto"/>
        <w:rPr>
          <w:rFonts w:ascii="Arial" w:hAnsi="Arial" w:cs="Arial"/>
          <w:sz w:val="24"/>
          <w:szCs w:val="24"/>
        </w:rPr>
      </w:pPr>
      <w:r>
        <w:rPr>
          <w:rFonts w:ascii="Arial" w:hAnsi="Arial" w:cs="Arial"/>
          <w:sz w:val="24"/>
          <w:szCs w:val="24"/>
        </w:rPr>
        <w:t xml:space="preserve">Scientific Content Analysis (SCAN) uses a person’s statement to detect deception rather than determine truthfulness. As long as the subject has given his/her own words by their own free will this technique can be used. SCAN analyses the words used rather than the body language of the interviewee. It is cross-cultural, making it more applicable. The analysis looks at language used, most people deceive indirectly rather than telling blatant lies. They will leave out critical facts or pretend to be forgetful and use words that distance themselves from the fraud. This process looks for changes in pronouns and </w:t>
      </w:r>
      <w:r>
        <w:rPr>
          <w:rFonts w:ascii="Arial" w:hAnsi="Arial" w:cs="Arial"/>
          <w:sz w:val="24"/>
          <w:szCs w:val="24"/>
        </w:rPr>
        <w:lastRenderedPageBreak/>
        <w:t>gaps in narrative. Changes in tenses reflect a strong emotional response. All this information allows for review of the statement and a conclusion to be made. Some experts believe this technique is as accurate as a polygraph test. Although, both SCAN and polygraph tests are not admissible in court as they are investigative tools.</w:t>
      </w:r>
    </w:p>
    <w:p w:rsidR="00276F03" w:rsidRDefault="00276F03" w:rsidP="00276F03">
      <w:pPr>
        <w:pStyle w:val="ListParagraph"/>
        <w:numPr>
          <w:ilvl w:val="0"/>
          <w:numId w:val="13"/>
        </w:numPr>
        <w:spacing w:after="160" w:line="360" w:lineRule="auto"/>
        <w:rPr>
          <w:rFonts w:ascii="Arial" w:hAnsi="Arial" w:cs="Arial"/>
          <w:sz w:val="24"/>
          <w:szCs w:val="24"/>
        </w:rPr>
      </w:pPr>
      <w:r>
        <w:rPr>
          <w:rFonts w:ascii="Arial" w:hAnsi="Arial" w:cs="Arial"/>
          <w:sz w:val="24"/>
          <w:szCs w:val="24"/>
        </w:rPr>
        <w:t>Visual Assessing Cues (VAC) refers to the language of the eyes and the principles related to it. Most experts agree that the eyes are the most communicative part of the body. Therefore, eye language is considered a more reliable indicator of truthfulness. Eye movement cues and interpretations are only applicable to right-handed individuals. Therefore an interviewer must determine if the interviewee is right or left handed prior to the interview to ensure that there is no error in interpreting the responses. Experts such as  Dan Rabon have determined that an individual will move their eyes in a certain way depending on the type of question they are asked, for example if asked to recall a past visual image the eyes will move to the left and up. Understanding the eye movement expected during a truthful answer to a type of question will allow the interviewer to determine deception during the interview and steer the interview as required to try to reach the truth. Blinking is also part of eye language, if a person is under stress they will blink more. Other eye language cues include gazing downwards, raising eyebrows and dilation of pupils.</w:t>
      </w:r>
    </w:p>
    <w:p w:rsidR="00276F03" w:rsidRDefault="00276F03" w:rsidP="00276F03">
      <w:pPr>
        <w:pStyle w:val="ListParagraph"/>
        <w:numPr>
          <w:ilvl w:val="0"/>
          <w:numId w:val="13"/>
        </w:numPr>
        <w:spacing w:after="160" w:line="360" w:lineRule="auto"/>
        <w:rPr>
          <w:rFonts w:ascii="Arial" w:hAnsi="Arial" w:cs="Arial"/>
          <w:sz w:val="24"/>
          <w:szCs w:val="24"/>
        </w:rPr>
      </w:pPr>
      <w:r>
        <w:rPr>
          <w:rFonts w:ascii="Arial" w:hAnsi="Arial" w:cs="Arial"/>
          <w:sz w:val="24"/>
          <w:szCs w:val="24"/>
        </w:rPr>
        <w:t>In addition to body and eye language indicators there are other cues to deception. These include:</w:t>
      </w:r>
    </w:p>
    <w:p w:rsidR="00276F03" w:rsidRDefault="00276F03" w:rsidP="00276F03">
      <w:pPr>
        <w:pStyle w:val="ListParagraph"/>
        <w:numPr>
          <w:ilvl w:val="1"/>
          <w:numId w:val="13"/>
        </w:numPr>
        <w:spacing w:after="160" w:line="360" w:lineRule="auto"/>
        <w:rPr>
          <w:rFonts w:ascii="Arial" w:hAnsi="Arial" w:cs="Arial"/>
          <w:sz w:val="24"/>
          <w:szCs w:val="24"/>
        </w:rPr>
      </w:pPr>
      <w:r>
        <w:rPr>
          <w:rFonts w:ascii="Arial" w:hAnsi="Arial" w:cs="Arial"/>
          <w:sz w:val="24"/>
          <w:szCs w:val="24"/>
        </w:rPr>
        <w:t>Interpersonal interactions such as inconsistent gestures; for example, shaking your head while answering “yes” to a question.</w:t>
      </w:r>
    </w:p>
    <w:p w:rsidR="00276F03" w:rsidRDefault="00276F03" w:rsidP="00276F03">
      <w:pPr>
        <w:pStyle w:val="ListParagraph"/>
        <w:numPr>
          <w:ilvl w:val="1"/>
          <w:numId w:val="13"/>
        </w:numPr>
        <w:spacing w:after="160" w:line="360" w:lineRule="auto"/>
        <w:rPr>
          <w:rFonts w:ascii="Arial" w:hAnsi="Arial" w:cs="Arial"/>
          <w:sz w:val="24"/>
          <w:szCs w:val="24"/>
        </w:rPr>
      </w:pPr>
      <w:r>
        <w:rPr>
          <w:rFonts w:ascii="Arial" w:hAnsi="Arial" w:cs="Arial"/>
          <w:sz w:val="24"/>
          <w:szCs w:val="24"/>
        </w:rPr>
        <w:t>Emotional states; a deceitful person is likely to avoid touching the investigator or interviewer.</w:t>
      </w:r>
    </w:p>
    <w:p w:rsidR="00276F03" w:rsidRDefault="00276F03" w:rsidP="00276F03">
      <w:pPr>
        <w:pStyle w:val="ListParagraph"/>
        <w:numPr>
          <w:ilvl w:val="1"/>
          <w:numId w:val="13"/>
        </w:numPr>
        <w:spacing w:after="160" w:line="360" w:lineRule="auto"/>
        <w:rPr>
          <w:rFonts w:ascii="Arial" w:hAnsi="Arial" w:cs="Arial"/>
          <w:sz w:val="24"/>
          <w:szCs w:val="24"/>
        </w:rPr>
      </w:pPr>
      <w:r>
        <w:rPr>
          <w:rFonts w:ascii="Arial" w:hAnsi="Arial" w:cs="Arial"/>
          <w:sz w:val="24"/>
          <w:szCs w:val="24"/>
        </w:rPr>
        <w:t>Verbal content; for example reflecting the question in the answer given. Question: “Did you authorise a payment in the online banking system?” Answer: “No, I did not authorise a payment in the online banking system”</w:t>
      </w:r>
    </w:p>
    <w:p w:rsidR="00276F03" w:rsidRDefault="00276F03" w:rsidP="00276F03">
      <w:pPr>
        <w:pStyle w:val="ListParagraph"/>
        <w:numPr>
          <w:ilvl w:val="1"/>
          <w:numId w:val="13"/>
        </w:numPr>
        <w:spacing w:after="160" w:line="360" w:lineRule="auto"/>
        <w:rPr>
          <w:rFonts w:ascii="Arial" w:hAnsi="Arial" w:cs="Arial"/>
          <w:sz w:val="24"/>
          <w:szCs w:val="24"/>
        </w:rPr>
      </w:pPr>
      <w:r>
        <w:rPr>
          <w:rFonts w:ascii="Arial" w:hAnsi="Arial" w:cs="Arial"/>
          <w:sz w:val="24"/>
          <w:szCs w:val="24"/>
        </w:rPr>
        <w:t>How comments are phrased. Changing pronouns during a conversation indicates you have started to lie about it. “My laptop” becoming “the laptop” shows an individual is distancing themselves from the event.</w:t>
      </w:r>
    </w:p>
    <w:p w:rsidR="00276F03" w:rsidRPr="001A4CDD" w:rsidRDefault="00276F03" w:rsidP="00276F03">
      <w:pPr>
        <w:pStyle w:val="ListParagraph"/>
        <w:numPr>
          <w:ilvl w:val="1"/>
          <w:numId w:val="13"/>
        </w:numPr>
        <w:spacing w:after="160" w:line="360" w:lineRule="auto"/>
        <w:rPr>
          <w:rFonts w:ascii="Arial" w:hAnsi="Arial" w:cs="Arial"/>
          <w:sz w:val="24"/>
          <w:szCs w:val="24"/>
        </w:rPr>
      </w:pPr>
      <w:r>
        <w:rPr>
          <w:rFonts w:ascii="Arial" w:hAnsi="Arial" w:cs="Arial"/>
          <w:sz w:val="24"/>
          <w:szCs w:val="24"/>
        </w:rPr>
        <w:lastRenderedPageBreak/>
        <w:t>Psychological frames. Deceitful statements or lies will always leave out details of things that went wrong, except for details relating to delays or cancellations.</w:t>
      </w:r>
    </w:p>
    <w:p w:rsidR="00276F03" w:rsidRDefault="00276F03" w:rsidP="00276F03">
      <w:pPr>
        <w:spacing w:line="360" w:lineRule="auto"/>
        <w:ind w:left="720" w:hanging="720"/>
        <w:rPr>
          <w:rFonts w:ascii="Arial" w:hAnsi="Arial" w:cs="Arial"/>
          <w:sz w:val="24"/>
          <w:szCs w:val="24"/>
        </w:rPr>
      </w:pPr>
    </w:p>
    <w:p w:rsidR="00276F03" w:rsidRDefault="00276F03" w:rsidP="00276F03">
      <w:pPr>
        <w:spacing w:line="360" w:lineRule="auto"/>
        <w:ind w:left="720" w:hanging="720"/>
        <w:rPr>
          <w:rFonts w:ascii="Arial" w:hAnsi="Arial" w:cs="Arial"/>
          <w:sz w:val="24"/>
          <w:szCs w:val="24"/>
        </w:rPr>
      </w:pPr>
      <w:r>
        <w:rPr>
          <w:rFonts w:ascii="Arial" w:hAnsi="Arial" w:cs="Arial"/>
          <w:sz w:val="24"/>
          <w:szCs w:val="24"/>
        </w:rPr>
        <w:t>Q2.</w:t>
      </w:r>
      <w:r>
        <w:rPr>
          <w:rFonts w:ascii="Arial" w:hAnsi="Arial" w:cs="Arial"/>
          <w:sz w:val="24"/>
          <w:szCs w:val="24"/>
        </w:rPr>
        <w:tab/>
        <w:t>Asking questions in an audit is different from asking questions in a fraud investigation because the overall goal of each is very different. In an audit an external firm makes an opinion as to whether the financial statements are fairly represented as a whole, the overriding question being “is this correct?”. In comparison, a fraud investigation will be focused on areas of the accounts that appear to have anomalies or on the basis of an allegation of fraud. During a fraud investigation it is important to use best practices for interview techniques. Most experts agree that open-ended questions are more effective than simple “yes” or “no” questions. It is common for people to think that writing down a list of questions to ask during an interview is the best way to approach it, however, in practice it is much better to write down key points and allow the conversation to take a natural course. There is also a risk that the fraudster could get a copy of the questions and prepare answers for them. In a fraud investigation a well prepared interview will follow the following steps:</w:t>
      </w:r>
    </w:p>
    <w:p w:rsidR="00276F03" w:rsidRDefault="00276F03" w:rsidP="00276F03">
      <w:pPr>
        <w:pStyle w:val="ListParagraph"/>
        <w:numPr>
          <w:ilvl w:val="0"/>
          <w:numId w:val="14"/>
        </w:numPr>
        <w:spacing w:after="160" w:line="360" w:lineRule="auto"/>
        <w:rPr>
          <w:rFonts w:ascii="Arial" w:hAnsi="Arial" w:cs="Arial"/>
          <w:sz w:val="24"/>
          <w:szCs w:val="24"/>
        </w:rPr>
      </w:pPr>
      <w:r>
        <w:rPr>
          <w:rFonts w:ascii="Arial" w:hAnsi="Arial" w:cs="Arial"/>
          <w:sz w:val="24"/>
          <w:szCs w:val="24"/>
        </w:rPr>
        <w:t>Prepare yourself</w:t>
      </w:r>
    </w:p>
    <w:p w:rsidR="00276F03" w:rsidRDefault="00276F03" w:rsidP="00276F03">
      <w:pPr>
        <w:pStyle w:val="ListParagraph"/>
        <w:numPr>
          <w:ilvl w:val="0"/>
          <w:numId w:val="14"/>
        </w:numPr>
        <w:spacing w:after="160" w:line="360" w:lineRule="auto"/>
        <w:rPr>
          <w:rFonts w:ascii="Arial" w:hAnsi="Arial" w:cs="Arial"/>
          <w:sz w:val="24"/>
          <w:szCs w:val="24"/>
        </w:rPr>
      </w:pPr>
      <w:r>
        <w:rPr>
          <w:rFonts w:ascii="Arial" w:hAnsi="Arial" w:cs="Arial"/>
          <w:sz w:val="24"/>
          <w:szCs w:val="24"/>
        </w:rPr>
        <w:t>Think before you interview</w:t>
      </w:r>
    </w:p>
    <w:p w:rsidR="00276F03" w:rsidRDefault="00276F03" w:rsidP="00276F03">
      <w:pPr>
        <w:pStyle w:val="ListParagraph"/>
        <w:numPr>
          <w:ilvl w:val="0"/>
          <w:numId w:val="14"/>
        </w:numPr>
        <w:spacing w:after="160" w:line="360" w:lineRule="auto"/>
        <w:rPr>
          <w:rFonts w:ascii="Arial" w:hAnsi="Arial" w:cs="Arial"/>
          <w:sz w:val="24"/>
          <w:szCs w:val="24"/>
        </w:rPr>
      </w:pPr>
      <w:r>
        <w:rPr>
          <w:rFonts w:ascii="Arial" w:hAnsi="Arial" w:cs="Arial"/>
          <w:sz w:val="24"/>
          <w:szCs w:val="24"/>
        </w:rPr>
        <w:t>Set the tone</w:t>
      </w:r>
    </w:p>
    <w:p w:rsidR="00276F03" w:rsidRDefault="00276F03" w:rsidP="00276F03">
      <w:pPr>
        <w:pStyle w:val="ListParagraph"/>
        <w:numPr>
          <w:ilvl w:val="0"/>
          <w:numId w:val="14"/>
        </w:numPr>
        <w:spacing w:after="160" w:line="360" w:lineRule="auto"/>
        <w:rPr>
          <w:rFonts w:ascii="Arial" w:hAnsi="Arial" w:cs="Arial"/>
          <w:sz w:val="24"/>
          <w:szCs w:val="24"/>
        </w:rPr>
      </w:pPr>
      <w:r>
        <w:rPr>
          <w:rFonts w:ascii="Arial" w:hAnsi="Arial" w:cs="Arial"/>
          <w:sz w:val="24"/>
          <w:szCs w:val="24"/>
        </w:rPr>
        <w:t>Look for non-verbal behaviour</w:t>
      </w:r>
    </w:p>
    <w:p w:rsidR="00276F03" w:rsidRDefault="00276F03" w:rsidP="00276F03">
      <w:pPr>
        <w:pStyle w:val="ListParagraph"/>
        <w:numPr>
          <w:ilvl w:val="0"/>
          <w:numId w:val="14"/>
        </w:numPr>
        <w:spacing w:after="160" w:line="360" w:lineRule="auto"/>
        <w:rPr>
          <w:rFonts w:ascii="Arial" w:hAnsi="Arial" w:cs="Arial"/>
          <w:sz w:val="24"/>
          <w:szCs w:val="24"/>
        </w:rPr>
      </w:pPr>
      <w:r>
        <w:rPr>
          <w:rFonts w:ascii="Arial" w:hAnsi="Arial" w:cs="Arial"/>
          <w:sz w:val="24"/>
          <w:szCs w:val="24"/>
        </w:rPr>
        <w:t>Ask your questions in flow</w:t>
      </w:r>
    </w:p>
    <w:p w:rsidR="00276F03" w:rsidRDefault="00276F03" w:rsidP="00276F03">
      <w:pPr>
        <w:pStyle w:val="ListParagraph"/>
        <w:numPr>
          <w:ilvl w:val="0"/>
          <w:numId w:val="14"/>
        </w:numPr>
        <w:spacing w:after="160" w:line="360" w:lineRule="auto"/>
        <w:rPr>
          <w:rFonts w:ascii="Arial" w:hAnsi="Arial" w:cs="Arial"/>
          <w:sz w:val="24"/>
          <w:szCs w:val="24"/>
        </w:rPr>
      </w:pPr>
      <w:r>
        <w:rPr>
          <w:rFonts w:ascii="Arial" w:hAnsi="Arial" w:cs="Arial"/>
          <w:sz w:val="24"/>
          <w:szCs w:val="24"/>
        </w:rPr>
        <w:t>Be direct and to the point</w:t>
      </w:r>
    </w:p>
    <w:p w:rsidR="00276F03" w:rsidRDefault="00276F03" w:rsidP="00276F03">
      <w:pPr>
        <w:pStyle w:val="ListParagraph"/>
        <w:numPr>
          <w:ilvl w:val="0"/>
          <w:numId w:val="14"/>
        </w:numPr>
        <w:spacing w:after="160" w:line="360" w:lineRule="auto"/>
        <w:rPr>
          <w:rFonts w:ascii="Arial" w:hAnsi="Arial" w:cs="Arial"/>
          <w:sz w:val="24"/>
          <w:szCs w:val="24"/>
        </w:rPr>
      </w:pPr>
      <w:r>
        <w:rPr>
          <w:rFonts w:ascii="Arial" w:hAnsi="Arial" w:cs="Arial"/>
          <w:sz w:val="24"/>
          <w:szCs w:val="24"/>
        </w:rPr>
        <w:t>Do more listening than talking</w:t>
      </w:r>
    </w:p>
    <w:p w:rsidR="00276F03" w:rsidRDefault="00276F03" w:rsidP="00276F03">
      <w:pPr>
        <w:pStyle w:val="ListParagraph"/>
        <w:numPr>
          <w:ilvl w:val="0"/>
          <w:numId w:val="14"/>
        </w:numPr>
        <w:spacing w:after="160" w:line="360" w:lineRule="auto"/>
        <w:rPr>
          <w:rFonts w:ascii="Arial" w:hAnsi="Arial" w:cs="Arial"/>
          <w:sz w:val="24"/>
          <w:szCs w:val="24"/>
        </w:rPr>
      </w:pPr>
      <w:r>
        <w:rPr>
          <w:rFonts w:ascii="Arial" w:hAnsi="Arial" w:cs="Arial"/>
          <w:sz w:val="24"/>
          <w:szCs w:val="24"/>
        </w:rPr>
        <w:t>Take your time</w:t>
      </w:r>
    </w:p>
    <w:p w:rsidR="00276F03" w:rsidRDefault="00276F03" w:rsidP="00276F03">
      <w:pPr>
        <w:pStyle w:val="ListParagraph"/>
        <w:numPr>
          <w:ilvl w:val="0"/>
          <w:numId w:val="14"/>
        </w:numPr>
        <w:spacing w:after="160" w:line="360" w:lineRule="auto"/>
        <w:rPr>
          <w:rFonts w:ascii="Arial" w:hAnsi="Arial" w:cs="Arial"/>
          <w:sz w:val="24"/>
          <w:szCs w:val="24"/>
        </w:rPr>
      </w:pPr>
      <w:r>
        <w:rPr>
          <w:rFonts w:ascii="Arial" w:hAnsi="Arial" w:cs="Arial"/>
          <w:sz w:val="24"/>
          <w:szCs w:val="24"/>
        </w:rPr>
        <w:t>Verify the evidence</w:t>
      </w:r>
    </w:p>
    <w:p w:rsidR="00276F03" w:rsidRDefault="00276F03" w:rsidP="00276F03">
      <w:pPr>
        <w:pStyle w:val="ListParagraph"/>
        <w:numPr>
          <w:ilvl w:val="0"/>
          <w:numId w:val="14"/>
        </w:numPr>
        <w:spacing w:after="160" w:line="360" w:lineRule="auto"/>
        <w:rPr>
          <w:rFonts w:ascii="Arial" w:hAnsi="Arial" w:cs="Arial"/>
          <w:sz w:val="24"/>
          <w:szCs w:val="24"/>
        </w:rPr>
      </w:pPr>
      <w:r>
        <w:rPr>
          <w:rFonts w:ascii="Arial" w:hAnsi="Arial" w:cs="Arial"/>
          <w:sz w:val="24"/>
          <w:szCs w:val="24"/>
        </w:rPr>
        <w:t>Get it in writing</w:t>
      </w:r>
    </w:p>
    <w:p w:rsidR="00276F03" w:rsidRDefault="00276F03" w:rsidP="00276F03">
      <w:pPr>
        <w:spacing w:line="360" w:lineRule="auto"/>
        <w:rPr>
          <w:rFonts w:ascii="Arial" w:hAnsi="Arial" w:cs="Arial"/>
          <w:sz w:val="24"/>
          <w:szCs w:val="24"/>
          <w:u w:val="single"/>
        </w:rPr>
      </w:pPr>
    </w:p>
    <w:p w:rsidR="00276F03" w:rsidRDefault="00276F03" w:rsidP="00276F03">
      <w:pPr>
        <w:spacing w:line="360" w:lineRule="auto"/>
        <w:ind w:left="720" w:hanging="720"/>
        <w:rPr>
          <w:rFonts w:ascii="Arial" w:hAnsi="Arial" w:cs="Arial"/>
          <w:sz w:val="24"/>
          <w:szCs w:val="24"/>
        </w:rPr>
      </w:pPr>
      <w:r>
        <w:rPr>
          <w:rFonts w:ascii="Arial" w:hAnsi="Arial" w:cs="Arial"/>
          <w:sz w:val="24"/>
          <w:szCs w:val="24"/>
        </w:rPr>
        <w:lastRenderedPageBreak/>
        <w:t>Q3.</w:t>
      </w:r>
      <w:r>
        <w:rPr>
          <w:rFonts w:ascii="Arial" w:hAnsi="Arial" w:cs="Arial"/>
          <w:sz w:val="24"/>
          <w:szCs w:val="24"/>
        </w:rPr>
        <w:tab/>
        <w:t xml:space="preserve">An interview is defined as a conversation with a purpose, the purpose being to collect information. Every interview should take place with the understanding that all witnesses could become a suspect as the investigation progresses. All interviews should essentially follow the same format but with financially sophisticated individuals the language used will be very different. The interviewer will also need to be exceptionally well prepared.   </w:t>
      </w:r>
    </w:p>
    <w:p w:rsidR="00276F03" w:rsidRPr="00A62E32" w:rsidRDefault="00276F03" w:rsidP="00276F03">
      <w:pPr>
        <w:spacing w:line="360" w:lineRule="auto"/>
        <w:ind w:left="720"/>
        <w:rPr>
          <w:rFonts w:ascii="Arial" w:hAnsi="Arial" w:cs="Arial"/>
          <w:sz w:val="24"/>
          <w:szCs w:val="24"/>
        </w:rPr>
      </w:pPr>
      <w:r>
        <w:rPr>
          <w:rFonts w:ascii="Arial" w:hAnsi="Arial" w:cs="Arial"/>
          <w:sz w:val="24"/>
          <w:szCs w:val="24"/>
        </w:rPr>
        <w:t xml:space="preserve">The background information collected in the preliminary stage of the investigation will help to prepare the interviewer. They must understand the workings of the organisation well enough to understand when, in an interview, a detail is given that is out of the ordinary. The interviewer must have full knowledge of the day-to-day workings of the organisation, including the procedures and processes for different transactions, the reporting and approval lines and flow of funds details. Industry information should also be collected to prepare for the interview. All of this information will help the interviewer to recognize answers that could lead to new lines of questioning or that the witness could be withholding information. It would most likely be beneficial to use process flow diagrams in the interview and to ask the witness to provide, in advance, any documents that they will refer to during the interview. This will allow for further preparation as it is difficult to be reviewing a document while conducting an interview. It is likely that the interviewer will choose to interview witnesses with general information first, such as the financial controller, before getting into more in depth transactional questions with the individual who manages entries for the particular account in question. This allows the interviewer to build the knowledge as they go through the interviews. </w:t>
      </w:r>
    </w:p>
    <w:p w:rsidR="00276F03" w:rsidRDefault="00276F03" w:rsidP="00AF205E">
      <w:pPr>
        <w:spacing w:line="360" w:lineRule="auto"/>
        <w:rPr>
          <w:rFonts w:cs="Bliss-Regular"/>
          <w:color w:val="000000"/>
          <w:lang w:val="en-US"/>
        </w:rPr>
      </w:pPr>
    </w:p>
    <w:p w:rsidR="00276F03" w:rsidRDefault="00276F03" w:rsidP="00AF205E">
      <w:pPr>
        <w:spacing w:line="360" w:lineRule="auto"/>
        <w:rPr>
          <w:rFonts w:cs="Bliss-Regular"/>
          <w:color w:val="000000"/>
          <w:lang w:val="en-US"/>
        </w:rPr>
      </w:pPr>
    </w:p>
    <w:p w:rsidR="00276F03" w:rsidRDefault="00276F03" w:rsidP="00AF205E">
      <w:pPr>
        <w:spacing w:line="360" w:lineRule="auto"/>
        <w:rPr>
          <w:rFonts w:cs="Bliss-Regular"/>
          <w:color w:val="000000"/>
          <w:lang w:val="en-US"/>
        </w:rPr>
      </w:pPr>
    </w:p>
    <w:p w:rsidR="00276F03" w:rsidRDefault="00276F03" w:rsidP="00AF205E">
      <w:pPr>
        <w:spacing w:line="360" w:lineRule="auto"/>
        <w:rPr>
          <w:rFonts w:cs="Bliss-Regular"/>
          <w:color w:val="000000"/>
          <w:lang w:val="en-US"/>
        </w:rPr>
      </w:pPr>
    </w:p>
    <w:p w:rsidR="00276F03" w:rsidRDefault="00276F03" w:rsidP="00AF205E">
      <w:pPr>
        <w:spacing w:line="360" w:lineRule="auto"/>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03DE" w:rsidRDefault="006803DE" w:rsidP="00CB4D0A">
      <w:pPr>
        <w:spacing w:after="0" w:line="240" w:lineRule="auto"/>
      </w:pPr>
      <w:r>
        <w:separator/>
      </w:r>
    </w:p>
  </w:endnote>
  <w:endnote w:type="continuationSeparator" w:id="0">
    <w:p w:rsidR="006803DE" w:rsidRDefault="006803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03DE" w:rsidRDefault="006803DE" w:rsidP="00CB4D0A">
      <w:pPr>
        <w:spacing w:after="0" w:line="240" w:lineRule="auto"/>
      </w:pPr>
      <w:r>
        <w:separator/>
      </w:r>
    </w:p>
  </w:footnote>
  <w:footnote w:type="continuationSeparator" w:id="0">
    <w:p w:rsidR="006803DE" w:rsidRDefault="006803D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669DC"/>
    <w:multiLevelType w:val="hybridMultilevel"/>
    <w:tmpl w:val="CE564B0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38B6E16"/>
    <w:multiLevelType w:val="hybridMultilevel"/>
    <w:tmpl w:val="D194C48E"/>
    <w:lvl w:ilvl="0" w:tplc="CE86633A">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1F5F2F7D"/>
    <w:multiLevelType w:val="hybridMultilevel"/>
    <w:tmpl w:val="1A1892E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29794507"/>
    <w:multiLevelType w:val="hybridMultilevel"/>
    <w:tmpl w:val="8E6A11FE"/>
    <w:lvl w:ilvl="0" w:tplc="2B50FEA4">
      <w:start w:val="1"/>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3BE74A34"/>
    <w:multiLevelType w:val="hybridMultilevel"/>
    <w:tmpl w:val="6410368E"/>
    <w:lvl w:ilvl="0" w:tplc="40184670">
      <w:start w:val="1"/>
      <w:numFmt w:val="lowerRoman"/>
      <w:lvlText w:val="%1."/>
      <w:lvlJc w:val="left"/>
      <w:pPr>
        <w:ind w:left="720" w:hanging="720"/>
      </w:pPr>
      <w:rPr>
        <w:rFonts w:hint="default"/>
      </w:rPr>
    </w:lvl>
    <w:lvl w:ilvl="1" w:tplc="0C090005">
      <w:start w:val="1"/>
      <w:numFmt w:val="bullet"/>
      <w:lvlText w:val=""/>
      <w:lvlJc w:val="left"/>
      <w:pPr>
        <w:ind w:left="1080" w:hanging="360"/>
      </w:pPr>
      <w:rPr>
        <w:rFonts w:ascii="Wingdings" w:hAnsi="Wingding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41E11E89"/>
    <w:multiLevelType w:val="hybridMultilevel"/>
    <w:tmpl w:val="2EE2F352"/>
    <w:lvl w:ilvl="0" w:tplc="D456A194">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42EC2879"/>
    <w:multiLevelType w:val="hybridMultilevel"/>
    <w:tmpl w:val="6AC0E87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9F40FC"/>
    <w:multiLevelType w:val="hybridMultilevel"/>
    <w:tmpl w:val="EA8E1192"/>
    <w:lvl w:ilvl="0" w:tplc="5DCA7FFC">
      <w:start w:val="1"/>
      <w:numFmt w:val="lowerRoman"/>
      <w:lvlText w:val="%1."/>
      <w:lvlJc w:val="left"/>
      <w:pPr>
        <w:ind w:left="720" w:hanging="720"/>
      </w:pPr>
      <w:rPr>
        <w:rFonts w:ascii="Arial" w:eastAsiaTheme="minorHAnsi" w:hAnsi="Arial" w:cs="Arial"/>
        <w:i w:val="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9" w15:restartNumberingAfterBreak="0">
    <w:nsid w:val="510E48A0"/>
    <w:multiLevelType w:val="hybridMultilevel"/>
    <w:tmpl w:val="FC561C6A"/>
    <w:lvl w:ilvl="0" w:tplc="0C090019">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10" w15:restartNumberingAfterBreak="0">
    <w:nsid w:val="6C5C56DB"/>
    <w:multiLevelType w:val="hybridMultilevel"/>
    <w:tmpl w:val="D284CF3A"/>
    <w:lvl w:ilvl="0" w:tplc="165C36DA">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6EFE538B"/>
    <w:multiLevelType w:val="hybridMultilevel"/>
    <w:tmpl w:val="B90CA24E"/>
    <w:lvl w:ilvl="0" w:tplc="B0925CF0">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741B781C"/>
    <w:multiLevelType w:val="hybridMultilevel"/>
    <w:tmpl w:val="08ACF344"/>
    <w:lvl w:ilvl="0" w:tplc="1144E0A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7AB82D85"/>
    <w:multiLevelType w:val="hybridMultilevel"/>
    <w:tmpl w:val="876A53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7"/>
  </w:num>
  <w:num w:numId="2">
    <w:abstractNumId w:val="10"/>
  </w:num>
  <w:num w:numId="3">
    <w:abstractNumId w:val="5"/>
  </w:num>
  <w:num w:numId="4">
    <w:abstractNumId w:val="1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3"/>
  </w:num>
  <w:num w:numId="9">
    <w:abstractNumId w:val="12"/>
  </w:num>
  <w:num w:numId="10">
    <w:abstractNumId w:val="6"/>
  </w:num>
  <w:num w:numId="11">
    <w:abstractNumId w:val="0"/>
  </w:num>
  <w:num w:numId="12">
    <w:abstractNumId w:val="11"/>
  </w:num>
  <w:num w:numId="13">
    <w:abstractNumId w:val="4"/>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53B2"/>
    <w:rsid w:val="000B62F5"/>
    <w:rsid w:val="001175EE"/>
    <w:rsid w:val="00157CF6"/>
    <w:rsid w:val="00182416"/>
    <w:rsid w:val="00187EB4"/>
    <w:rsid w:val="001F0481"/>
    <w:rsid w:val="00200C92"/>
    <w:rsid w:val="0020451E"/>
    <w:rsid w:val="00206B9D"/>
    <w:rsid w:val="0023259C"/>
    <w:rsid w:val="00243A78"/>
    <w:rsid w:val="00276F03"/>
    <w:rsid w:val="002B0BD7"/>
    <w:rsid w:val="002B573D"/>
    <w:rsid w:val="002C5CB2"/>
    <w:rsid w:val="002F779F"/>
    <w:rsid w:val="003215F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03DE"/>
    <w:rsid w:val="006823A7"/>
    <w:rsid w:val="00687EE8"/>
    <w:rsid w:val="006E3198"/>
    <w:rsid w:val="0070347F"/>
    <w:rsid w:val="0070678E"/>
    <w:rsid w:val="00831C11"/>
    <w:rsid w:val="008A60B4"/>
    <w:rsid w:val="008B03F1"/>
    <w:rsid w:val="008B3C31"/>
    <w:rsid w:val="008B64FE"/>
    <w:rsid w:val="008D28A4"/>
    <w:rsid w:val="00935BF7"/>
    <w:rsid w:val="00943A10"/>
    <w:rsid w:val="0095442C"/>
    <w:rsid w:val="00983942"/>
    <w:rsid w:val="009C37E0"/>
    <w:rsid w:val="009D7C5C"/>
    <w:rsid w:val="009E41F4"/>
    <w:rsid w:val="00A14B66"/>
    <w:rsid w:val="00A65CF7"/>
    <w:rsid w:val="00A81AB4"/>
    <w:rsid w:val="00A851DA"/>
    <w:rsid w:val="00A97AB6"/>
    <w:rsid w:val="00AC7D5B"/>
    <w:rsid w:val="00AE1481"/>
    <w:rsid w:val="00AF205E"/>
    <w:rsid w:val="00B0415E"/>
    <w:rsid w:val="00B04678"/>
    <w:rsid w:val="00B145F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5FCD"/>
    <w:rsid w:val="00DB0793"/>
    <w:rsid w:val="00E00821"/>
    <w:rsid w:val="00E04DB4"/>
    <w:rsid w:val="00E30679"/>
    <w:rsid w:val="00E4597D"/>
    <w:rsid w:val="00E54832"/>
    <w:rsid w:val="00E56A90"/>
    <w:rsid w:val="00E641CC"/>
    <w:rsid w:val="00E90294"/>
    <w:rsid w:val="00EA30AB"/>
    <w:rsid w:val="00EB3925"/>
    <w:rsid w:val="00F10B1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2FB826-236F-4A97-841D-20BAC11D0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2524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1F00C-1C02-4BF2-A80E-CAE077C14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1300</Words>
  <Characters>7410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Gemma Banham</cp:lastModifiedBy>
  <cp:revision>6</cp:revision>
  <dcterms:created xsi:type="dcterms:W3CDTF">2015-12-15T19:52:00Z</dcterms:created>
  <dcterms:modified xsi:type="dcterms:W3CDTF">2015-12-30T13:37:00Z</dcterms:modified>
</cp:coreProperties>
</file>