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0273A3">
      <w:pPr>
        <w:pStyle w:val="Default"/>
        <w:spacing w:line="360" w:lineRule="auto"/>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C2F75" w:rsidP="000273A3">
      <w:pPr>
        <w:spacing w:line="360" w:lineRule="auto"/>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0273A3">
      <w:pPr>
        <w:spacing w:line="360" w:lineRule="auto"/>
        <w:rPr>
          <w:lang w:val="en-US"/>
        </w:rPr>
      </w:pPr>
    </w:p>
    <w:p w:rsidR="00607874" w:rsidRDefault="00607874" w:rsidP="000273A3">
      <w:pPr>
        <w:spacing w:line="360" w:lineRule="auto"/>
        <w:rPr>
          <w:lang w:val="en-US"/>
        </w:rPr>
      </w:pPr>
    </w:p>
    <w:p w:rsidR="00607874" w:rsidRDefault="00607874" w:rsidP="000273A3">
      <w:pPr>
        <w:spacing w:line="360" w:lineRule="auto"/>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73A3">
            <w:pPr>
              <w:spacing w:line="360" w:lineRule="auto"/>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73A3" w:rsidP="000273A3">
            <w:pPr>
              <w:pStyle w:val="Default"/>
              <w:spacing w:line="360" w:lineRule="auto"/>
              <w:rPr>
                <w:rFonts w:asciiTheme="minorHAnsi" w:hAnsiTheme="minorHAnsi"/>
              </w:rPr>
            </w:pPr>
            <w:r>
              <w:rPr>
                <w:rFonts w:asciiTheme="minorHAnsi" w:hAnsiTheme="minorHAnsi"/>
              </w:rPr>
              <w:t>Malama James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73A3">
            <w:pPr>
              <w:spacing w:line="360" w:lineRule="auto"/>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73A3" w:rsidP="000273A3">
            <w:pPr>
              <w:pStyle w:val="Default"/>
              <w:spacing w:line="360" w:lineRule="auto"/>
              <w:rPr>
                <w:rFonts w:asciiTheme="minorHAnsi" w:hAnsiTheme="minorHAnsi"/>
              </w:rPr>
            </w:pPr>
            <w:r>
              <w:rPr>
                <w:rFonts w:asciiTheme="minorHAnsi" w:hAnsiTheme="minorHAnsi"/>
              </w:rPr>
              <w:t>1424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73A3">
            <w:pPr>
              <w:spacing w:line="360" w:lineRule="auto"/>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73A3" w:rsidP="000273A3">
            <w:pPr>
              <w:pStyle w:val="Default"/>
              <w:spacing w:line="360" w:lineRule="auto"/>
              <w:rPr>
                <w:rFonts w:asciiTheme="minorHAnsi" w:hAnsiTheme="minorHAnsi"/>
              </w:rPr>
            </w:pPr>
            <w:r>
              <w:rPr>
                <w:rFonts w:asciiTheme="minorHAnsi" w:hAnsiTheme="minorHAnsi"/>
              </w:rPr>
              <w:t>Human Resource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rsidP="000273A3">
            <w:pPr>
              <w:spacing w:line="360" w:lineRule="auto"/>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73A3" w:rsidP="000273A3">
            <w:pPr>
              <w:spacing w:line="360" w:lineRule="auto"/>
            </w:pPr>
            <w:r>
              <w:t>Eleven</w:t>
            </w:r>
          </w:p>
        </w:tc>
      </w:tr>
    </w:tbl>
    <w:p w:rsidR="00CC2FB3" w:rsidRDefault="00CC2FB3" w:rsidP="000273A3">
      <w:pPr>
        <w:spacing w:line="360" w:lineRule="auto"/>
        <w:rPr>
          <w:b/>
          <w:lang w:val="en-US"/>
        </w:rPr>
      </w:pPr>
    </w:p>
    <w:p w:rsidR="00443E6F" w:rsidRDefault="00527C11" w:rsidP="000273A3">
      <w:pPr>
        <w:spacing w:line="360" w:lineRule="auto"/>
        <w:rPr>
          <w:b/>
          <w:sz w:val="28"/>
          <w:lang w:val="en-US"/>
        </w:rPr>
      </w:pPr>
      <w:r w:rsidRPr="00443E6F">
        <w:rPr>
          <w:b/>
          <w:sz w:val="28"/>
          <w:lang w:val="en-US"/>
        </w:rPr>
        <w:t>Marking Criteria:</w:t>
      </w:r>
    </w:p>
    <w:p w:rsidR="00443E6F" w:rsidRDefault="00527C11" w:rsidP="000273A3">
      <w:pPr>
        <w:spacing w:line="360" w:lineRule="auto"/>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0273A3">
      <w:pPr>
        <w:spacing w:line="360" w:lineRule="auto"/>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0273A3" w:rsidRDefault="00CC2FB3" w:rsidP="000273A3">
            <w:pPr>
              <w:spacing w:line="360" w:lineRule="auto"/>
              <w:rPr>
                <w:rFonts w:ascii="Arial" w:hAnsi="Arial" w:cs="Arial"/>
                <w:sz w:val="24"/>
                <w:szCs w:val="24"/>
              </w:rPr>
            </w:pPr>
          </w:p>
          <w:p w:rsidR="000273A3" w:rsidRDefault="000273A3" w:rsidP="000273A3">
            <w:pPr>
              <w:spacing w:line="360" w:lineRule="auto"/>
              <w:rPr>
                <w:rFonts w:ascii="Arial" w:hAnsi="Arial" w:cs="Arial"/>
              </w:rPr>
            </w:pPr>
            <w:r>
              <w:rPr>
                <w:rFonts w:ascii="Arial" w:hAnsi="Arial" w:cs="Arial"/>
              </w:rPr>
              <w:t xml:space="preserve">Question one </w:t>
            </w:r>
          </w:p>
          <w:p w:rsidR="000273A3" w:rsidRPr="0091009A" w:rsidRDefault="000273A3" w:rsidP="000273A3">
            <w:pPr>
              <w:numPr>
                <w:ilvl w:val="0"/>
                <w:numId w:val="2"/>
              </w:numPr>
              <w:spacing w:line="360" w:lineRule="auto"/>
              <w:rPr>
                <w:rFonts w:ascii="Arial" w:hAnsi="Arial" w:cs="Arial"/>
              </w:rPr>
            </w:pPr>
            <w:r>
              <w:rPr>
                <w:rFonts w:ascii="Calibri" w:hAnsi="Calibri" w:cs="Calibri"/>
              </w:rPr>
              <w:t xml:space="preserve"> Why organizations want to have good relations with their employees</w:t>
            </w:r>
          </w:p>
          <w:p w:rsidR="000273A3" w:rsidRDefault="000273A3" w:rsidP="000273A3">
            <w:pPr>
              <w:spacing w:line="360" w:lineRule="auto"/>
              <w:ind w:left="540"/>
              <w:rPr>
                <w:rFonts w:ascii="Calibri" w:hAnsi="Calibri" w:cs="Calibri"/>
              </w:rPr>
            </w:pPr>
            <w:r>
              <w:rPr>
                <w:rFonts w:ascii="Calibri" w:hAnsi="Calibri" w:cs="Calibri"/>
              </w:rPr>
              <w:t>Maintaining healthy employee relations in an organization is a pre-requisite for organizational success. Strong employee relations are required for high productivity and human satisfaction. Employee relations generally deal with avoiding and resolving issues concerning individuals which might arise out of or influence the work scenario. Strong employee relation depends upon healthy and safe environment, cent percent involvement and commitment of all employees, incentives for employee motivation, and effective communication system in the organization. Healthy employee relations lead to more efficient, motivated and productive employees which further lead to increase in sales level.</w:t>
            </w:r>
          </w:p>
          <w:p w:rsidR="000273A3" w:rsidRDefault="000273A3" w:rsidP="000273A3">
            <w:pPr>
              <w:numPr>
                <w:ilvl w:val="0"/>
                <w:numId w:val="2"/>
              </w:numPr>
              <w:spacing w:line="360" w:lineRule="auto"/>
              <w:rPr>
                <w:rFonts w:ascii="Calibri" w:hAnsi="Calibri" w:cs="Calibri"/>
              </w:rPr>
            </w:pPr>
            <w:r>
              <w:rPr>
                <w:rFonts w:ascii="Calibri" w:hAnsi="Calibri" w:cs="Calibri"/>
              </w:rPr>
              <w:t>the role of HRM in developing good employee relations</w:t>
            </w:r>
          </w:p>
          <w:p w:rsidR="000273A3" w:rsidRDefault="000273A3" w:rsidP="000273A3">
            <w:pPr>
              <w:autoSpaceDE w:val="0"/>
              <w:autoSpaceDN w:val="0"/>
              <w:adjustRightInd w:val="0"/>
              <w:spacing w:line="360" w:lineRule="auto"/>
              <w:rPr>
                <w:rFonts w:ascii="Calibri" w:hAnsi="Calibri" w:cs="Calibri"/>
              </w:rPr>
            </w:pPr>
            <w:r>
              <w:rPr>
                <w:rFonts w:ascii="Calibri" w:hAnsi="Calibri" w:cs="Calibri"/>
              </w:rPr>
              <w:t xml:space="preserve">The HR function provides guidance and training and will develop and help to introduce and maintain formal processes; but it does not do line managers’ jobs for them. However, in their role as industrial </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lastRenderedPageBreak/>
              <w:t xml:space="preserve">Name: Malama James </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Student#:1424</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Assignment#:11</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Page#: 2</w:t>
            </w:r>
          </w:p>
          <w:p w:rsidR="000273A3" w:rsidRDefault="000273A3" w:rsidP="000273A3">
            <w:pPr>
              <w:autoSpaceDE w:val="0"/>
              <w:autoSpaceDN w:val="0"/>
              <w:adjustRightInd w:val="0"/>
              <w:spacing w:line="360" w:lineRule="auto"/>
              <w:rPr>
                <w:rFonts w:ascii="Calibri" w:hAnsi="Calibri" w:cs="Calibri"/>
              </w:rPr>
            </w:pPr>
            <w:r>
              <w:rPr>
                <w:rFonts w:ascii="Calibri" w:hAnsi="Calibri" w:cs="Calibri"/>
              </w:rPr>
              <w:t>relations specialists, HR practitioners may deal directly with trade unions and their representatives. They are also likely to have a measure of responsibility for maintaining participation and involvement processes and for managing employee communications. They can and should play a major part in developing employee relations strategies and policies that aim to:</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achieve satisfactory employment relationships, taking particular account of the importance of psychological contracts;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build stable and cooperative relationships with employees which recognize that they are stakeholders in the organization and minimize conflict;</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achieve commitment through employee involvement and communications processes;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develop mutuality – a common interest in achieving the organization’s goals through the development of organizational cultures based on shared values between management and employees;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clarify industrial relations processes with trade unions and build harmonious relationships with them on a partnership basis.</w:t>
            </w:r>
          </w:p>
          <w:p w:rsidR="000273A3" w:rsidRDefault="000273A3" w:rsidP="000273A3">
            <w:pPr>
              <w:numPr>
                <w:ilvl w:val="0"/>
                <w:numId w:val="2"/>
              </w:numPr>
              <w:spacing w:line="360" w:lineRule="auto"/>
              <w:rPr>
                <w:rFonts w:ascii="Arial" w:hAnsi="Arial" w:cs="Arial"/>
              </w:rPr>
            </w:pPr>
            <w:r>
              <w:rPr>
                <w:rFonts w:ascii="Calibri" w:hAnsi="Calibri" w:cs="Calibri"/>
              </w:rPr>
              <w:t>The objectives and functions of a good industrial relations system</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approaches to recognizing or de-recognizing trade unions;</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formal methods of collective bargaining;</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partnership as an approach to employee relations;</w:t>
            </w:r>
          </w:p>
          <w:p w:rsidR="000273A3" w:rsidRPr="00477A3C"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the informal day-to-day contacts on employment issues that take place in the workplace between management and trade union representatives or officials</w:t>
            </w:r>
          </w:p>
          <w:p w:rsidR="000273A3" w:rsidRPr="00477A3C"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features of the industrial relations scene such as union membership in the workplace, the check-off and strikes</w:t>
            </w:r>
          </w:p>
          <w:p w:rsidR="000273A3" w:rsidRDefault="000273A3" w:rsidP="000273A3">
            <w:pPr>
              <w:numPr>
                <w:ilvl w:val="0"/>
                <w:numId w:val="2"/>
              </w:numPr>
              <w:spacing w:line="360" w:lineRule="auto"/>
              <w:rPr>
                <w:rFonts w:ascii="Calibri" w:hAnsi="Calibri" w:cs="Calibri"/>
              </w:rPr>
            </w:pPr>
            <w:r>
              <w:rPr>
                <w:rFonts w:ascii="Calibri" w:hAnsi="Calibri" w:cs="Calibri"/>
              </w:rPr>
              <w:t>the main elements of employee relations system</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The formal and informal employment policies and practices of the organization</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The development, negotiation and application of formal systems, rules and procedures for collective bargaining, handling disputes and regulating employment</w:t>
            </w:r>
          </w:p>
          <w:p w:rsidR="000273A3" w:rsidRDefault="000273A3" w:rsidP="000273A3">
            <w:pPr>
              <w:autoSpaceDE w:val="0"/>
              <w:autoSpaceDN w:val="0"/>
              <w:adjustRightInd w:val="0"/>
              <w:spacing w:line="360" w:lineRule="auto"/>
              <w:rPr>
                <w:rFonts w:ascii="Calibri" w:hAnsi="Calibri" w:cs="Calibri"/>
              </w:rPr>
            </w:pPr>
            <w:r>
              <w:rPr>
                <w:rFonts w:ascii="Calibri" w:hAnsi="Calibri" w:cs="Calibri"/>
              </w:rPr>
              <w:t>These serve to determine the reward for effort and other conditions of employment, to protect the interests of both employees and their employers, and to regulate the ways in which employers treat their employees and how the latter are expected to behave at work.</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Policies and practices for employee voice and communications.</w:t>
            </w:r>
          </w:p>
          <w:p w:rsidR="000273A3" w:rsidRDefault="000273A3" w:rsidP="000273A3">
            <w:pPr>
              <w:autoSpaceDE w:val="0"/>
              <w:autoSpaceDN w:val="0"/>
              <w:adjustRightInd w:val="0"/>
              <w:spacing w:line="360" w:lineRule="auto"/>
              <w:jc w:val="right"/>
              <w:rPr>
                <w:rFonts w:ascii="Calibri" w:hAnsi="Calibri" w:cs="Calibri"/>
              </w:rPr>
            </w:pP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 xml:space="preserve">Name: Malama James </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Student#:1424</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Assignment#:11</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Page#</w:t>
            </w:r>
            <w:r>
              <w:rPr>
                <w:rFonts w:ascii="Calibri" w:hAnsi="Calibri" w:cs="Calibri"/>
              </w:rPr>
              <w:t>: 3</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The informal as well as the formal processes that take place in the shape of continuous interactions between managers and team leaders or supervisors on the one hand and employee representatives and individuals on the other. These may happen within the framework of formal agreements but are often governed by custom and practice and the climate of relationships that has been built up over the years.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The philosophies and policies of the major players in the industrial relations scene: the government of the day, management and the trade unions.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A number of parties each with different roles: These consist of the state, management, employers’ organizations, the trade unions, individual managers and supervisors, HR managers, employee representatives or shop stewards and employees.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The legal framework</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A number of institutions such as the Advisory, Conciliation and Arbitration Service (ACAS) and the employment tribunals</w:t>
            </w:r>
          </w:p>
          <w:p w:rsidR="000273A3" w:rsidRDefault="000273A3" w:rsidP="000273A3">
            <w:pPr>
              <w:autoSpaceDE w:val="0"/>
              <w:autoSpaceDN w:val="0"/>
              <w:adjustRightInd w:val="0"/>
              <w:spacing w:line="360" w:lineRule="auto"/>
              <w:rPr>
                <w:rFonts w:ascii="Calibri" w:hAnsi="Calibri" w:cs="Calibri"/>
              </w:rPr>
            </w:pPr>
            <w:r>
              <w:rPr>
                <w:rFonts w:ascii="Symbol" w:hAnsi="Symbol" w:cs="Symbol"/>
              </w:rPr>
              <w:t></w:t>
            </w:r>
            <w:r>
              <w:rPr>
                <w:rFonts w:ascii="Symbol" w:hAnsi="Symbol" w:cs="Symbol"/>
              </w:rPr>
              <w:t></w:t>
            </w:r>
            <w:r>
              <w:rPr>
                <w:rFonts w:ascii="Calibri" w:hAnsi="Calibri" w:cs="Calibri"/>
              </w:rPr>
              <w:t>The bargaining structures, recognition and procedural agreements and practices which have evolved to enab</w:t>
            </w:r>
            <w:r>
              <w:rPr>
                <w:rFonts w:ascii="Calibri" w:hAnsi="Calibri" w:cs="Calibri"/>
              </w:rPr>
              <w:t>le the formal system to operate</w:t>
            </w:r>
          </w:p>
          <w:p w:rsidR="000273A3" w:rsidRDefault="000273A3" w:rsidP="000273A3">
            <w:pPr>
              <w:autoSpaceDE w:val="0"/>
              <w:autoSpaceDN w:val="0"/>
              <w:adjustRightInd w:val="0"/>
              <w:spacing w:line="360" w:lineRule="auto"/>
              <w:rPr>
                <w:rFonts w:ascii="Calibri" w:hAnsi="Calibri" w:cs="Calibri"/>
              </w:rPr>
            </w:pPr>
            <w:r>
              <w:rPr>
                <w:rFonts w:ascii="Calibri" w:hAnsi="Calibri" w:cs="Calibri"/>
              </w:rPr>
              <w:t>Question two</w:t>
            </w:r>
          </w:p>
          <w:p w:rsidR="000273A3" w:rsidRPr="001D68C0" w:rsidRDefault="000273A3" w:rsidP="000273A3">
            <w:pPr>
              <w:autoSpaceDE w:val="0"/>
              <w:autoSpaceDN w:val="0"/>
              <w:adjustRightInd w:val="0"/>
              <w:spacing w:line="360" w:lineRule="auto"/>
              <w:rPr>
                <w:rFonts w:ascii="Calibri" w:hAnsi="Calibri" w:cs="Calibri"/>
              </w:rPr>
            </w:pPr>
            <w:r>
              <w:rPr>
                <w:rFonts w:ascii="Calibri" w:hAnsi="Calibri" w:cs="Calibri"/>
              </w:rPr>
              <w:t>Employee relations strategies</w:t>
            </w:r>
          </w:p>
          <w:p w:rsidR="000273A3" w:rsidRDefault="000273A3" w:rsidP="000273A3">
            <w:pPr>
              <w:autoSpaceDE w:val="0"/>
              <w:autoSpaceDN w:val="0"/>
              <w:adjustRightInd w:val="0"/>
              <w:spacing w:line="360" w:lineRule="auto"/>
              <w:rPr>
                <w:rFonts w:ascii="Calibri,Italic" w:hAnsi="Calibri,Italic" w:cs="Calibri,Italic"/>
                <w:iCs/>
                <w:color w:val="000000"/>
              </w:rPr>
            </w:pPr>
            <w:r w:rsidRPr="00CA2B72">
              <w:rPr>
                <w:rFonts w:ascii="Calibri,Italic" w:hAnsi="Calibri,Italic" w:cs="Calibri,Italic"/>
                <w:iCs/>
                <w:color w:val="000000"/>
              </w:rPr>
              <w:t>Nature and purpose</w:t>
            </w:r>
          </w:p>
          <w:p w:rsidR="000273A3" w:rsidRPr="00CA2B72" w:rsidRDefault="000273A3" w:rsidP="000273A3">
            <w:pPr>
              <w:autoSpaceDE w:val="0"/>
              <w:autoSpaceDN w:val="0"/>
              <w:adjustRightInd w:val="0"/>
              <w:spacing w:line="360" w:lineRule="auto"/>
              <w:rPr>
                <w:rFonts w:ascii="Calibri,Italic" w:hAnsi="Calibri,Italic" w:cs="Calibri,Italic"/>
                <w:iCs/>
                <w:color w:val="000000"/>
              </w:rPr>
            </w:pPr>
            <w:r>
              <w:rPr>
                <w:rFonts w:ascii="Calibri" w:hAnsi="Calibri" w:cs="Calibri"/>
                <w:color w:val="000000"/>
              </w:rPr>
              <w:t>Employee relations strategies set out how objectives which are to be achieved. Employee relations strategies should be distinguished from employee relations policies. Strategies are dynamic. They provide a sense of direction, and give an answer to the question ‘how are we going to get from here to there?’ Employee relations policies are more about the here and now.</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 xml:space="preserve">Thus if the policy is to increase commitment, the strategy could consider how this might be achieved by involvement and participation processes. </w:t>
            </w:r>
          </w:p>
          <w:p w:rsidR="000273A3" w:rsidRPr="00477A3C"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Strategic directions</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The intentions expressed by employee relations strategies may direct the organization towards any of the following:</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changing forms of recognition, including single union recognition, or derecognizing;</w:t>
            </w:r>
          </w:p>
          <w:p w:rsidR="000273A3" w:rsidRDefault="000273A3" w:rsidP="000273A3">
            <w:pPr>
              <w:autoSpaceDE w:val="0"/>
              <w:autoSpaceDN w:val="0"/>
              <w:adjustRightInd w:val="0"/>
              <w:spacing w:line="360" w:lineRule="auto"/>
              <w:jc w:val="right"/>
              <w:rPr>
                <w:rFonts w:ascii="Calibri" w:hAnsi="Calibri" w:cs="Calibri"/>
              </w:rPr>
            </w:pPr>
            <w:r>
              <w:rPr>
                <w:rFonts w:ascii="Symbol" w:hAnsi="Symbol" w:cs="Symbol"/>
                <w:color w:val="000000"/>
              </w:rPr>
              <w:t></w:t>
            </w:r>
            <w:r>
              <w:rPr>
                <w:rFonts w:ascii="Symbol" w:hAnsi="Symbol" w:cs="Symbol"/>
                <w:color w:val="000000"/>
              </w:rPr>
              <w:t></w:t>
            </w:r>
            <w:r>
              <w:rPr>
                <w:rFonts w:ascii="Calibri" w:hAnsi="Calibri" w:cs="Calibri"/>
                <w:color w:val="000000"/>
              </w:rPr>
              <w:t xml:space="preserve">changes in the form and content of procedural agreements; new bargaining structures, including </w:t>
            </w:r>
            <w:r>
              <w:rPr>
                <w:rFonts w:ascii="Calibri" w:hAnsi="Calibri" w:cs="Calibri"/>
              </w:rPr>
              <w:lastRenderedPageBreak/>
              <w:t xml:space="preserve">Name: Malama James </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Student#:1424</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Assignment#:11</w:t>
            </w:r>
          </w:p>
          <w:p w:rsidR="000273A3" w:rsidRDefault="000273A3" w:rsidP="000273A3">
            <w:pPr>
              <w:autoSpaceDE w:val="0"/>
              <w:autoSpaceDN w:val="0"/>
              <w:adjustRightInd w:val="0"/>
              <w:spacing w:line="360" w:lineRule="auto"/>
              <w:jc w:val="right"/>
              <w:rPr>
                <w:rFonts w:ascii="Calibri" w:hAnsi="Calibri" w:cs="Calibri"/>
              </w:rPr>
            </w:pPr>
            <w:r>
              <w:rPr>
                <w:rFonts w:ascii="Calibri" w:hAnsi="Calibri" w:cs="Calibri"/>
              </w:rPr>
              <w:t>Page#</w:t>
            </w:r>
            <w:r>
              <w:rPr>
                <w:rFonts w:ascii="Calibri" w:hAnsi="Calibri" w:cs="Calibri"/>
              </w:rPr>
              <w:t>: 4</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decentralization or single-table bargaining;</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the achievement of increased levels of commitment through involvement or participation;</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deliberately bypassing trade union representatives to communicate directly with employees;</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increasing the extent to which management controls operations in such areas as</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flexibility;</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generally improving the employee relations climate in order to produce more harmonious and cooperative relationships;</w:t>
            </w:r>
          </w:p>
          <w:p w:rsidR="000273A3" w:rsidRDefault="000273A3" w:rsidP="000273A3">
            <w:pPr>
              <w:autoSpaceDE w:val="0"/>
              <w:autoSpaceDN w:val="0"/>
              <w:adjustRightInd w:val="0"/>
              <w:spacing w:line="360" w:lineRule="auto"/>
              <w:rPr>
                <w:rFonts w:ascii="Calibri" w:hAnsi="Calibri" w:cs="Calibri"/>
                <w:color w:val="000000"/>
              </w:rPr>
            </w:pPr>
            <w:r>
              <w:rPr>
                <w:rFonts w:ascii="Symbol" w:hAnsi="Symbol" w:cs="Symbol"/>
                <w:color w:val="000000"/>
              </w:rPr>
              <w:t></w:t>
            </w:r>
            <w:r>
              <w:rPr>
                <w:rFonts w:ascii="Symbol" w:hAnsi="Symbol" w:cs="Symbol"/>
                <w:color w:val="000000"/>
              </w:rPr>
              <w:t></w:t>
            </w:r>
            <w:r>
              <w:rPr>
                <w:rFonts w:ascii="Calibri" w:hAnsi="Calibri" w:cs="Calibri"/>
                <w:color w:val="000000"/>
              </w:rPr>
              <w:t>developing a ‘partnership’ with trade unions, recognizing that employees are stakeholders and that it is to the advantage of both parties to work together (this could be described as a unitary strategy aiming at</w:t>
            </w:r>
            <w:r>
              <w:rPr>
                <w:rFonts w:ascii="Calibri" w:hAnsi="Calibri" w:cs="Calibri"/>
                <w:color w:val="000000"/>
              </w:rPr>
              <w:t xml:space="preserve"> increasing mutual commitment).</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Question three</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Labor and manpower are inter-related fields. Satisfied labor is the source of development and prosperity of people at large. Manpower management requires development of human resources through objective-oriented training and relations, so that external and internal labor markets are supplied qualified and trained labor to cater to the needs of the industry and have the sustained productive capacity to contribute uninterruptedly to the overall economic and industrial growth.</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Labor relations should be seen as an essential part of management systems and techniques, and not as a discipline or activity apart from management. Changes in labor relations within an organization are often affected by management practices. Therefore attitudes towards industrial relations should be understood in the background of theories and practices relating to the management of enterprises and organizational behavior. The present trend in labor relations and human resource management is to place greater emphasis on employee involvement, harmonious employer-employee relations and mechanisms, and on practices which promote them.</w:t>
            </w:r>
          </w:p>
          <w:p w:rsidR="000273A3" w:rsidRDefault="000273A3" w:rsidP="000273A3">
            <w:pPr>
              <w:autoSpaceDE w:val="0"/>
              <w:autoSpaceDN w:val="0"/>
              <w:adjustRightInd w:val="0"/>
              <w:spacing w:line="360" w:lineRule="auto"/>
              <w:rPr>
                <w:rFonts w:ascii="Calibri,Bold" w:hAnsi="Calibri,Bold" w:cs="Calibri,Bold"/>
                <w:b/>
                <w:bCs/>
                <w:color w:val="FFFFFF"/>
                <w:sz w:val="28"/>
                <w:szCs w:val="28"/>
              </w:rPr>
            </w:pPr>
            <w:r>
              <w:rPr>
                <w:rFonts w:ascii="Calibri,Bold" w:hAnsi="Calibri,Bold" w:cs="Calibri,Bold"/>
                <w:b/>
                <w:bCs/>
                <w:color w:val="FFFFFF"/>
                <w:sz w:val="28"/>
                <w:szCs w:val="28"/>
              </w:rPr>
              <w:t>Concept and Scope of Industrial Relations</w:t>
            </w:r>
          </w:p>
          <w:p w:rsidR="000273A3" w:rsidRDefault="000273A3" w:rsidP="000273A3">
            <w:pPr>
              <w:autoSpaceDE w:val="0"/>
              <w:autoSpaceDN w:val="0"/>
              <w:adjustRightInd w:val="0"/>
              <w:spacing w:line="360" w:lineRule="auto"/>
              <w:rPr>
                <w:rFonts w:ascii="Calibri" w:hAnsi="Calibri" w:cs="Calibri"/>
                <w:color w:val="000000"/>
              </w:rPr>
            </w:pPr>
            <w:r>
              <w:rPr>
                <w:rFonts w:ascii="Calibri" w:hAnsi="Calibri" w:cs="Calibri"/>
                <w:color w:val="000000"/>
              </w:rPr>
              <w:t>Bibliography</w:t>
            </w:r>
          </w:p>
          <w:p w:rsidR="000273A3" w:rsidRDefault="000273A3" w:rsidP="000273A3">
            <w:pPr>
              <w:autoSpaceDE w:val="0"/>
              <w:autoSpaceDN w:val="0"/>
              <w:adjustRightInd w:val="0"/>
              <w:spacing w:line="360" w:lineRule="auto"/>
              <w:rPr>
                <w:rFonts w:ascii="Calibri" w:hAnsi="Calibri" w:cs="Calibri"/>
                <w:color w:val="000000"/>
              </w:rPr>
            </w:pPr>
          </w:p>
          <w:p w:rsidR="000273A3" w:rsidRDefault="000273A3" w:rsidP="000273A3">
            <w:pPr>
              <w:numPr>
                <w:ilvl w:val="0"/>
                <w:numId w:val="3"/>
              </w:numPr>
              <w:autoSpaceDE w:val="0"/>
              <w:autoSpaceDN w:val="0"/>
              <w:adjustRightInd w:val="0"/>
              <w:spacing w:line="360" w:lineRule="auto"/>
              <w:rPr>
                <w:rFonts w:ascii="Calibri" w:hAnsi="Calibri" w:cs="Calibri"/>
              </w:rPr>
            </w:pPr>
            <w:r>
              <w:rPr>
                <w:rFonts w:ascii="Calibri" w:hAnsi="Calibri" w:cs="Calibri"/>
              </w:rPr>
              <w:t>Nick Wilton, (2011), An Introduction to Human Resource Management</w:t>
            </w:r>
          </w:p>
          <w:p w:rsidR="000273A3" w:rsidRPr="00F0334E" w:rsidRDefault="000273A3" w:rsidP="000273A3">
            <w:pPr>
              <w:numPr>
                <w:ilvl w:val="0"/>
                <w:numId w:val="3"/>
              </w:numPr>
              <w:autoSpaceDE w:val="0"/>
              <w:autoSpaceDN w:val="0"/>
              <w:adjustRightInd w:val="0"/>
              <w:spacing w:line="360" w:lineRule="auto"/>
              <w:rPr>
                <w:rFonts w:ascii="Calibri" w:hAnsi="Calibri" w:cs="Calibri"/>
                <w:color w:val="000000"/>
              </w:rPr>
            </w:pPr>
            <w:r>
              <w:rPr>
                <w:rFonts w:ascii="Calibri" w:hAnsi="Calibri" w:cs="Calibri"/>
              </w:rPr>
              <w:t>Michael Armstrong, (2012), Armstrong's Handbook of Human Resource</w:t>
            </w:r>
          </w:p>
          <w:p w:rsidR="00CC2FB3" w:rsidRPr="000273A3" w:rsidRDefault="000273A3" w:rsidP="000273A3">
            <w:pPr>
              <w:numPr>
                <w:ilvl w:val="0"/>
                <w:numId w:val="3"/>
              </w:numPr>
              <w:autoSpaceDE w:val="0"/>
              <w:autoSpaceDN w:val="0"/>
              <w:adjustRightInd w:val="0"/>
              <w:spacing w:line="360" w:lineRule="auto"/>
              <w:rPr>
                <w:rFonts w:ascii="Calibri" w:hAnsi="Calibri" w:cs="Calibri"/>
                <w:color w:val="000000"/>
              </w:rPr>
            </w:pPr>
            <w:r>
              <w:rPr>
                <w:rFonts w:ascii="Calibri" w:hAnsi="Calibri" w:cs="Calibri"/>
              </w:rPr>
              <w:t>Brentwood open learning college lecture notes (unit 11),employee relations</w:t>
            </w:r>
          </w:p>
        </w:tc>
        <w:bookmarkStart w:id="0" w:name="_GoBack"/>
        <w:bookmarkEnd w:id="0"/>
      </w:tr>
    </w:tbl>
    <w:p w:rsidR="00503D7E" w:rsidRPr="00B0415E" w:rsidRDefault="00503D7E" w:rsidP="000273A3">
      <w:pPr>
        <w:autoSpaceDE w:val="0"/>
        <w:autoSpaceDN w:val="0"/>
        <w:adjustRightInd w:val="0"/>
        <w:spacing w:after="0" w:line="360" w:lineRule="auto"/>
        <w:rPr>
          <w:rFonts w:cs="CalvertMT-Bold"/>
          <w:b/>
          <w:bCs/>
          <w:color w:val="002060"/>
          <w:sz w:val="28"/>
          <w:lang w:val="en-US"/>
        </w:rPr>
      </w:pPr>
    </w:p>
    <w:p w:rsidR="00A851DA" w:rsidRPr="00B0415E" w:rsidRDefault="00AE1481" w:rsidP="000273A3">
      <w:pPr>
        <w:autoSpaceDE w:val="0"/>
        <w:autoSpaceDN w:val="0"/>
        <w:adjustRightInd w:val="0"/>
        <w:spacing w:after="0" w:line="36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0273A3">
      <w:pPr>
        <w:autoSpaceDE w:val="0"/>
        <w:autoSpaceDN w:val="0"/>
        <w:adjustRightInd w:val="0"/>
        <w:spacing w:after="0" w:line="360" w:lineRule="auto"/>
        <w:rPr>
          <w:rFonts w:cs="CalvertMT-Bold"/>
          <w:b/>
          <w:bCs/>
          <w:color w:val="001AE6"/>
          <w:lang w:val="en-US"/>
        </w:rPr>
      </w:pPr>
    </w:p>
    <w:p w:rsidR="00A851DA" w:rsidRPr="00B0415E" w:rsidRDefault="00405895" w:rsidP="000273A3">
      <w:pPr>
        <w:autoSpaceDE w:val="0"/>
        <w:autoSpaceDN w:val="0"/>
        <w:adjustRightInd w:val="0"/>
        <w:spacing w:after="0" w:line="36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0273A3">
      <w:pPr>
        <w:autoSpaceDE w:val="0"/>
        <w:autoSpaceDN w:val="0"/>
        <w:adjustRightInd w:val="0"/>
        <w:spacing w:after="0" w:line="360" w:lineRule="auto"/>
        <w:rPr>
          <w:rFonts w:cs="Bliss-Regular"/>
          <w:color w:val="000000"/>
          <w:lang w:val="en-US"/>
        </w:rPr>
      </w:pPr>
    </w:p>
    <w:p w:rsidR="00503D7E" w:rsidRPr="00B0415E" w:rsidRDefault="00503D7E" w:rsidP="000273A3">
      <w:pPr>
        <w:autoSpaceDE w:val="0"/>
        <w:autoSpaceDN w:val="0"/>
        <w:adjustRightInd w:val="0"/>
        <w:spacing w:after="0" w:line="360" w:lineRule="auto"/>
        <w:rPr>
          <w:rFonts w:cs="Bliss-Regular"/>
          <w:color w:val="000000"/>
          <w:lang w:val="en-US"/>
        </w:rPr>
      </w:pPr>
    </w:p>
    <w:p w:rsidR="00A851DA" w:rsidRPr="00B0415E" w:rsidRDefault="00A851DA" w:rsidP="000273A3">
      <w:pPr>
        <w:autoSpaceDE w:val="0"/>
        <w:autoSpaceDN w:val="0"/>
        <w:adjustRightInd w:val="0"/>
        <w:spacing w:after="0" w:line="36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0273A3">
            <w:pPr>
              <w:spacing w:line="360" w:lineRule="auto"/>
              <w:rPr>
                <w:rFonts w:cs="Bliss-Regular"/>
                <w:color w:val="000000"/>
              </w:rPr>
            </w:pPr>
            <w:r w:rsidRPr="00B0415E">
              <w:rPr>
                <w:rFonts w:cs="Bliss-Regular"/>
                <w:color w:val="000000"/>
              </w:rPr>
              <w:t>Student Signature</w:t>
            </w:r>
          </w:p>
        </w:tc>
        <w:tc>
          <w:tcPr>
            <w:tcW w:w="4035" w:type="dxa"/>
          </w:tcPr>
          <w:p w:rsidR="00405895" w:rsidRPr="00B0415E" w:rsidRDefault="000273A3" w:rsidP="000273A3">
            <w:pPr>
              <w:spacing w:line="360" w:lineRule="auto"/>
              <w:rPr>
                <w:rFonts w:cs="Bliss-Regular"/>
                <w:color w:val="000000"/>
              </w:rPr>
            </w:pPr>
            <w:r>
              <w:rPr>
                <w:rFonts w:cs="Bliss-Regular"/>
                <w:color w:val="000000"/>
              </w:rPr>
              <w:t>Malama James</w:t>
            </w:r>
          </w:p>
        </w:tc>
        <w:tc>
          <w:tcPr>
            <w:tcW w:w="1276" w:type="dxa"/>
            <w:shd w:val="clear" w:color="auto" w:fill="D9D9D9" w:themeFill="background1" w:themeFillShade="D9"/>
          </w:tcPr>
          <w:p w:rsidR="00405895" w:rsidRPr="00B0415E" w:rsidRDefault="00405895" w:rsidP="000273A3">
            <w:pPr>
              <w:spacing w:line="360" w:lineRule="auto"/>
              <w:rPr>
                <w:rFonts w:cs="Bliss-Regular"/>
                <w:color w:val="000000"/>
              </w:rPr>
            </w:pPr>
            <w:r w:rsidRPr="00B0415E">
              <w:rPr>
                <w:rFonts w:cs="Bliss-Regular"/>
                <w:color w:val="000000"/>
              </w:rPr>
              <w:t>Date</w:t>
            </w:r>
          </w:p>
        </w:tc>
        <w:tc>
          <w:tcPr>
            <w:tcW w:w="1621" w:type="dxa"/>
          </w:tcPr>
          <w:p w:rsidR="00405895" w:rsidRPr="00B0415E" w:rsidRDefault="004C2F75" w:rsidP="000273A3">
            <w:pPr>
              <w:spacing w:line="360" w:lineRule="auto"/>
              <w:rPr>
                <w:rFonts w:cs="Bliss-Regular"/>
                <w:color w:val="000000"/>
              </w:rPr>
            </w:pPr>
            <w:r>
              <w:rPr>
                <w:rFonts w:cs="Bliss-Regular"/>
                <w:color w:val="000000"/>
              </w:rPr>
              <w:t>29-05-2015</w:t>
            </w:r>
          </w:p>
        </w:tc>
      </w:tr>
    </w:tbl>
    <w:p w:rsidR="00A851DA" w:rsidRPr="00B0415E" w:rsidRDefault="00A851DA" w:rsidP="000273A3">
      <w:pPr>
        <w:spacing w:line="360" w:lineRule="auto"/>
        <w:rPr>
          <w:rFonts w:cs="Bliss-Regular"/>
          <w:color w:val="000000"/>
          <w:lang w:val="en-US"/>
        </w:rPr>
      </w:pPr>
    </w:p>
    <w:p w:rsidR="00A851DA" w:rsidRPr="00B0415E" w:rsidRDefault="00A851DA" w:rsidP="000273A3">
      <w:pPr>
        <w:spacing w:line="360" w:lineRule="auto"/>
        <w:rPr>
          <w:rFonts w:cs="Bliss-Regular"/>
          <w:color w:val="000000"/>
          <w:lang w:val="en-US"/>
        </w:rPr>
      </w:pPr>
    </w:p>
    <w:p w:rsidR="00A851DA" w:rsidRPr="00B0415E" w:rsidRDefault="00503D7E" w:rsidP="000273A3">
      <w:pPr>
        <w:shd w:val="clear" w:color="auto" w:fill="D9D9D9" w:themeFill="background1" w:themeFillShade="D9"/>
        <w:spacing w:line="360" w:lineRule="auto"/>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0273A3">
            <w:pPr>
              <w:spacing w:line="360" w:lineRule="auto"/>
              <w:rPr>
                <w:b/>
                <w:color w:val="002060"/>
              </w:rPr>
            </w:pPr>
            <w:r w:rsidRPr="00B0415E">
              <w:rPr>
                <w:b/>
                <w:color w:val="002060"/>
              </w:rPr>
              <w:t>Total Marks</w:t>
            </w:r>
          </w:p>
        </w:tc>
        <w:tc>
          <w:tcPr>
            <w:tcW w:w="4621" w:type="dxa"/>
          </w:tcPr>
          <w:p w:rsidR="00503D7E" w:rsidRPr="00B0415E" w:rsidRDefault="00503D7E" w:rsidP="000273A3">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0273A3">
            <w:pPr>
              <w:spacing w:line="360" w:lineRule="auto"/>
              <w:rPr>
                <w:b/>
                <w:color w:val="002060"/>
              </w:rPr>
            </w:pPr>
            <w:r w:rsidRPr="00B0415E">
              <w:rPr>
                <w:b/>
                <w:color w:val="002060"/>
              </w:rPr>
              <w:t>Marks Obtained</w:t>
            </w:r>
          </w:p>
        </w:tc>
        <w:tc>
          <w:tcPr>
            <w:tcW w:w="4621" w:type="dxa"/>
          </w:tcPr>
          <w:p w:rsidR="00503D7E" w:rsidRPr="00B0415E" w:rsidRDefault="00503D7E" w:rsidP="000273A3">
            <w:pPr>
              <w:spacing w:line="360" w:lineRule="auto"/>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0273A3">
            <w:pPr>
              <w:spacing w:line="360" w:lineRule="auto"/>
              <w:rPr>
                <w:b/>
                <w:color w:val="002060"/>
              </w:rPr>
            </w:pPr>
            <w:r w:rsidRPr="00B0415E">
              <w:rPr>
                <w:b/>
                <w:color w:val="002060"/>
              </w:rPr>
              <w:t>Percentage / Grade</w:t>
            </w:r>
          </w:p>
        </w:tc>
        <w:tc>
          <w:tcPr>
            <w:tcW w:w="4621" w:type="dxa"/>
          </w:tcPr>
          <w:p w:rsidR="00503D7E" w:rsidRPr="00B0415E" w:rsidRDefault="00503D7E" w:rsidP="000273A3">
            <w:pPr>
              <w:spacing w:line="360" w:lineRule="auto"/>
              <w:rPr>
                <w:rFonts w:cs="Times New Roman"/>
                <w:szCs w:val="32"/>
              </w:rPr>
            </w:pPr>
          </w:p>
        </w:tc>
      </w:tr>
    </w:tbl>
    <w:p w:rsidR="00A851DA" w:rsidRDefault="00A851DA"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607874" w:rsidRDefault="00607874" w:rsidP="000273A3">
      <w:pPr>
        <w:spacing w:line="360" w:lineRule="auto"/>
        <w:rPr>
          <w:rFonts w:cs="Times New Roman"/>
          <w:sz w:val="24"/>
          <w:szCs w:val="32"/>
        </w:rPr>
      </w:pPr>
    </w:p>
    <w:p w:rsidR="00EA30AB" w:rsidRDefault="00EA30AB" w:rsidP="000273A3">
      <w:pPr>
        <w:spacing w:line="360" w:lineRule="auto"/>
        <w:rPr>
          <w:rFonts w:cs="Times New Roman"/>
          <w:sz w:val="24"/>
          <w:szCs w:val="32"/>
        </w:rPr>
      </w:pPr>
    </w:p>
    <w:p w:rsidR="00EA30AB" w:rsidRDefault="00EA30AB" w:rsidP="000273A3">
      <w:pPr>
        <w:spacing w:line="360" w:lineRule="auto"/>
        <w:rPr>
          <w:rFonts w:cs="Times New Roman"/>
          <w:sz w:val="24"/>
          <w:szCs w:val="32"/>
        </w:rPr>
      </w:pPr>
    </w:p>
    <w:p w:rsidR="00EA30AB" w:rsidRPr="00B0415E" w:rsidRDefault="00EA30AB" w:rsidP="000273A3">
      <w:pPr>
        <w:spacing w:line="360" w:lineRule="auto"/>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4030B" w:rsidRDefault="0054030B" w:rsidP="00CB4D0A">
      <w:pPr>
        <w:spacing w:after="0" w:line="240" w:lineRule="auto"/>
      </w:pPr>
      <w:r>
        <w:separator/>
      </w:r>
    </w:p>
  </w:endnote>
  <w:endnote w:type="continuationSeparator" w:id="0">
    <w:p w:rsidR="0054030B" w:rsidRDefault="0054030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Italic">
    <w:panose1 w:val="00000000000000000000"/>
    <w:charset w:val="00"/>
    <w:family w:val="auto"/>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4030B" w:rsidRDefault="0054030B" w:rsidP="00CB4D0A">
      <w:pPr>
        <w:spacing w:after="0" w:line="240" w:lineRule="auto"/>
      </w:pPr>
      <w:r>
        <w:separator/>
      </w:r>
    </w:p>
  </w:footnote>
  <w:footnote w:type="continuationSeparator" w:id="0">
    <w:p w:rsidR="0054030B" w:rsidRDefault="0054030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306AEB"/>
    <w:multiLevelType w:val="hybridMultilevel"/>
    <w:tmpl w:val="8BC0E2E0"/>
    <w:lvl w:ilvl="0" w:tplc="04090013">
      <w:start w:val="1"/>
      <w:numFmt w:val="upperRoman"/>
      <w:lvlText w:val="%1."/>
      <w:lvlJc w:val="right"/>
      <w:pPr>
        <w:tabs>
          <w:tab w:val="num" w:pos="720"/>
        </w:tabs>
        <w:ind w:left="720" w:hanging="18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A8309B"/>
    <w:multiLevelType w:val="hybridMultilevel"/>
    <w:tmpl w:val="3AC0652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73A3"/>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C2F75"/>
    <w:rsid w:val="004E3CDA"/>
    <w:rsid w:val="004F4B4D"/>
    <w:rsid w:val="0050216D"/>
    <w:rsid w:val="00503D7E"/>
    <w:rsid w:val="0050778F"/>
    <w:rsid w:val="00527C11"/>
    <w:rsid w:val="00535F31"/>
    <w:rsid w:val="0054030B"/>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1D07BD-0C22-46BC-9AE1-5FECDD223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1</cp:revision>
  <dcterms:created xsi:type="dcterms:W3CDTF">2015-01-26T12:24:00Z</dcterms:created>
  <dcterms:modified xsi:type="dcterms:W3CDTF">2015-05-29T13:59:00Z</dcterms:modified>
</cp:coreProperties>
</file>