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8515A">
        <w:rPr>
          <w:rFonts w:asciiTheme="minorHAnsi" w:hAnsiTheme="minorHAnsi"/>
        </w:rPr>
        <w:tab/>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1551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 xml:space="preserve">Alexa </w:t>
            </w:r>
            <w:proofErr w:type="spellStart"/>
            <w:r w:rsidRPr="00E15512">
              <w:rPr>
                <w:rFonts w:ascii="Arial" w:hAnsi="Arial" w:cs="Arial"/>
              </w:rPr>
              <w:t>Ferrenberg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15512" w:rsidRDefault="00E15512">
            <w:pPr>
              <w:pStyle w:val="Default"/>
              <w:rPr>
                <w:rFonts w:ascii="Arial" w:hAnsi="Arial" w:cs="Arial"/>
              </w:rPr>
            </w:pPr>
            <w:r w:rsidRPr="00E15512">
              <w:rPr>
                <w:rFonts w:ascii="Arial" w:hAnsi="Arial" w:cs="Arial"/>
              </w:rPr>
              <w:t>1344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15512" w:rsidRDefault="00E15512">
            <w:pPr>
              <w:pStyle w:val="Default"/>
              <w:rPr>
                <w:rFonts w:ascii="Arial" w:hAnsi="Arial" w:cs="Arial"/>
              </w:rPr>
            </w:pPr>
            <w:r w:rsidRPr="00E15512">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C34ED" w:rsidRDefault="00E15512" w:rsidP="00E15512">
            <w:pPr>
              <w:pStyle w:val="Default"/>
              <w:rPr>
                <w:rFonts w:ascii="Arial" w:hAnsi="Arial" w:cs="Arial"/>
              </w:rPr>
            </w:pPr>
            <w:r w:rsidRPr="00FC34ED">
              <w:rPr>
                <w:rFonts w:ascii="Arial" w:hAnsi="Arial" w:cs="Arial"/>
              </w:rPr>
              <w:t>Assessment</w:t>
            </w:r>
            <w:r w:rsidR="00245A55">
              <w:rPr>
                <w:rFonts w:ascii="Arial" w:hAnsi="Arial" w:cs="Arial"/>
              </w:rPr>
              <w:t xml:space="preserve"> 7</w:t>
            </w:r>
          </w:p>
        </w:tc>
      </w:tr>
    </w:tbl>
    <w:p w:rsidR="00CC2FB3" w:rsidRDefault="00CC2FB3" w:rsidP="00A851DA">
      <w:pPr>
        <w:rPr>
          <w:b/>
          <w:lang w:val="en-US"/>
        </w:rPr>
      </w:pPr>
    </w:p>
    <w:tbl>
      <w:tblPr>
        <w:tblStyle w:val="Tabellenraster"/>
        <w:tblW w:w="0" w:type="auto"/>
        <w:tblLook w:val="04A0" w:firstRow="1" w:lastRow="0" w:firstColumn="1" w:lastColumn="0" w:noHBand="0" w:noVBand="1"/>
      </w:tblPr>
      <w:tblGrid>
        <w:gridCol w:w="9242"/>
      </w:tblGrid>
      <w:tr w:rsidR="00CC2FB3" w:rsidRPr="00141FDC" w:rsidTr="00CC2FB3">
        <w:tc>
          <w:tcPr>
            <w:tcW w:w="9242" w:type="dxa"/>
          </w:tcPr>
          <w:p w:rsidR="00245A55" w:rsidRPr="00F51DBE" w:rsidRDefault="00245A55" w:rsidP="00245A55">
            <w:pPr>
              <w:pStyle w:val="KeinLeerraum"/>
              <w:rPr>
                <w:rFonts w:ascii="Arial" w:hAnsi="Arial" w:cs="Arial"/>
                <w:b/>
              </w:rPr>
            </w:pPr>
            <w:r w:rsidRPr="00F51DBE">
              <w:rPr>
                <w:rFonts w:ascii="Arial" w:hAnsi="Arial" w:cs="Arial"/>
                <w:b/>
              </w:rPr>
              <w:t xml:space="preserve">1. Give </w:t>
            </w:r>
            <w:r>
              <w:rPr>
                <w:rFonts w:ascii="Arial" w:hAnsi="Arial" w:cs="Arial"/>
                <w:b/>
              </w:rPr>
              <w:t>short</w:t>
            </w:r>
            <w:r w:rsidRPr="00F51DBE">
              <w:rPr>
                <w:rFonts w:ascii="Arial" w:hAnsi="Arial" w:cs="Arial"/>
                <w:b/>
              </w:rPr>
              <w:t xml:space="preserve"> answers for the following questions:</w:t>
            </w:r>
          </w:p>
          <w:p w:rsidR="00245A55" w:rsidRPr="00F51DBE" w:rsidRDefault="00245A55" w:rsidP="00245A55">
            <w:pPr>
              <w:pStyle w:val="KeinLeerraum"/>
              <w:rPr>
                <w:rFonts w:ascii="Arial" w:hAnsi="Arial" w:cs="Arial"/>
                <w:b/>
              </w:rPr>
            </w:pPr>
            <w:r w:rsidRPr="00F51DBE">
              <w:rPr>
                <w:rFonts w:ascii="Arial" w:hAnsi="Arial" w:cs="Arial"/>
                <w:b/>
              </w:rPr>
              <w:t xml:space="preserve">I. </w:t>
            </w:r>
            <w:r>
              <w:rPr>
                <w:rFonts w:ascii="Arial" w:hAnsi="Arial" w:cs="Arial"/>
                <w:b/>
              </w:rPr>
              <w:t>What are the non-financial sources for the evidence?</w:t>
            </w:r>
          </w:p>
          <w:p w:rsidR="00245A55" w:rsidRDefault="00245A55" w:rsidP="00245A55">
            <w:pPr>
              <w:pStyle w:val="KeinLeerraum"/>
              <w:spacing w:line="360" w:lineRule="auto"/>
              <w:jc w:val="both"/>
              <w:rPr>
                <w:rFonts w:ascii="Arial" w:hAnsi="Arial" w:cs="Arial"/>
              </w:rPr>
            </w:pPr>
            <w:r>
              <w:rPr>
                <w:rFonts w:ascii="Arial" w:hAnsi="Arial" w:cs="Arial"/>
              </w:rPr>
              <w:t>One of the non-financial sources for the evidence is interviews. With the help of several interview techniques and best practices it is possible for a fraud investigator to get important information from a victim or suspect. Therefore it is better to ask open-ended question then closed question which is the answer only “yes” or “no”. Also a key to the success for a good interview is preparation, tone of the interview, non-verbal behavior, and flow of the questions, clear points, more listening than talking, enough time, verifying the evidence and getting in writing. Questions could have the following categories:</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Introductory</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Informational</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Assessment</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Closing</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Admission-seeking</w:t>
            </w:r>
          </w:p>
          <w:p w:rsidR="00245A55" w:rsidRDefault="00245A55" w:rsidP="00245A55">
            <w:pPr>
              <w:pStyle w:val="KeinLeerraum"/>
              <w:spacing w:line="360" w:lineRule="auto"/>
              <w:jc w:val="both"/>
              <w:rPr>
                <w:rFonts w:ascii="Arial" w:hAnsi="Arial" w:cs="Arial"/>
              </w:rPr>
            </w:pPr>
            <w:r>
              <w:rPr>
                <w:rFonts w:ascii="Arial" w:hAnsi="Arial" w:cs="Arial"/>
              </w:rPr>
              <w:t xml:space="preserve">Also a non-financial source of evidence could be physiological traits. That means all non-verbal communication (e. g. the body language or eye language) of the fraudster. With the analysis of the physiological traits it is possible to detect deception or lies.  </w:t>
            </w:r>
          </w:p>
          <w:p w:rsidR="00245A55" w:rsidRDefault="00245A55" w:rsidP="00245A55">
            <w:pPr>
              <w:pStyle w:val="KeinLeerraum"/>
              <w:rPr>
                <w:rFonts w:ascii="Arial" w:hAnsi="Arial" w:cs="Arial"/>
              </w:rPr>
            </w:pPr>
          </w:p>
          <w:p w:rsidR="00245A55" w:rsidRPr="00EB0198" w:rsidRDefault="00245A55" w:rsidP="00245A55">
            <w:pPr>
              <w:pStyle w:val="KeinLeerraum"/>
              <w:rPr>
                <w:rFonts w:ascii="Arial" w:hAnsi="Arial" w:cs="Arial"/>
                <w:b/>
              </w:rPr>
            </w:pPr>
            <w:r w:rsidRPr="00EB0198">
              <w:rPr>
                <w:rFonts w:ascii="Arial" w:hAnsi="Arial" w:cs="Arial"/>
                <w:b/>
              </w:rPr>
              <w:t xml:space="preserve">II. </w:t>
            </w:r>
            <w:r>
              <w:rPr>
                <w:rFonts w:ascii="Arial" w:hAnsi="Arial" w:cs="Arial"/>
                <w:b/>
              </w:rPr>
              <w:t>What is the importance of body language in the interviewing procedure?</w:t>
            </w:r>
          </w:p>
          <w:p w:rsidR="00245A55" w:rsidRDefault="00245A55" w:rsidP="00245A55">
            <w:pPr>
              <w:pStyle w:val="KeinLeerraum"/>
              <w:spacing w:line="360" w:lineRule="auto"/>
              <w:jc w:val="both"/>
              <w:rPr>
                <w:rFonts w:ascii="Arial" w:hAnsi="Arial" w:cs="Arial"/>
              </w:rPr>
            </w:pPr>
            <w:r>
              <w:rPr>
                <w:rFonts w:ascii="Arial" w:hAnsi="Arial" w:cs="Arial"/>
              </w:rPr>
              <w:t xml:space="preserve">The importance of body language is that normally people act inconsistently when they are lying or trying to deceive; e. g. shaking the head in the same time when they say “yes”.  The U.S.-Austrian communication scientist Paul </w:t>
            </w:r>
            <w:proofErr w:type="spellStart"/>
            <w:r>
              <w:rPr>
                <w:rFonts w:ascii="Arial" w:hAnsi="Arial" w:cs="Arial"/>
              </w:rPr>
              <w:t>Watzlawick</w:t>
            </w:r>
            <w:proofErr w:type="spellEnd"/>
            <w:r>
              <w:rPr>
                <w:rFonts w:ascii="Arial" w:hAnsi="Arial" w:cs="Arial"/>
              </w:rPr>
              <w:t xml:space="preserve"> says </w:t>
            </w:r>
            <w:proofErr w:type="gramStart"/>
            <w:r>
              <w:rPr>
                <w:rFonts w:ascii="Arial" w:hAnsi="Arial" w:cs="Arial"/>
              </w:rPr>
              <w:t>“one cannot not communicate”</w:t>
            </w:r>
            <w:proofErr w:type="gramEnd"/>
            <w:r>
              <w:rPr>
                <w:rFonts w:ascii="Arial" w:hAnsi="Arial" w:cs="Arial"/>
              </w:rPr>
              <w:t>. This principle applies also for fraudster. Auditors and forensic accountants try to read the body language especially certain anxiety- or stress-related gestures or movements. This cues could be stuttering</w:t>
            </w:r>
            <w:proofErr w:type="gramStart"/>
            <w:r>
              <w:rPr>
                <w:rFonts w:ascii="Arial" w:hAnsi="Arial" w:cs="Arial"/>
              </w:rPr>
              <w:t>,</w:t>
            </w:r>
            <w:proofErr w:type="gramEnd"/>
            <w:r>
              <w:rPr>
                <w:rFonts w:ascii="Arial" w:hAnsi="Arial" w:cs="Arial"/>
              </w:rPr>
              <w:t xml:space="preserve"> speech errors, hesitation, increased vocal pitch, excessive blinking, pupil dilation, touching the hands or the face excessively, shrugging the shoulders, etc. </w:t>
            </w:r>
          </w:p>
          <w:p w:rsidR="00245A55" w:rsidRDefault="00245A55" w:rsidP="00245A55">
            <w:pPr>
              <w:pStyle w:val="KeinLeerraum"/>
              <w:spacing w:line="360" w:lineRule="auto"/>
              <w:jc w:val="both"/>
              <w:rPr>
                <w:rFonts w:ascii="Arial" w:hAnsi="Arial" w:cs="Arial"/>
              </w:rPr>
            </w:pPr>
          </w:p>
          <w:p w:rsidR="00245A55" w:rsidRPr="00EB0198" w:rsidRDefault="00245A55" w:rsidP="00245A55">
            <w:pPr>
              <w:pStyle w:val="KeinLeerraum"/>
              <w:rPr>
                <w:rFonts w:ascii="Arial" w:hAnsi="Arial" w:cs="Arial"/>
                <w:b/>
              </w:rPr>
            </w:pPr>
            <w:r w:rsidRPr="00EB0198">
              <w:rPr>
                <w:rFonts w:ascii="Arial" w:hAnsi="Arial" w:cs="Arial"/>
                <w:b/>
              </w:rPr>
              <w:lastRenderedPageBreak/>
              <w:t xml:space="preserve">III. </w:t>
            </w:r>
            <w:r>
              <w:rPr>
                <w:rFonts w:ascii="Arial" w:hAnsi="Arial" w:cs="Arial"/>
                <w:b/>
              </w:rPr>
              <w:t>How is the SCAN Analysis used as an investigative technique?</w:t>
            </w:r>
          </w:p>
          <w:p w:rsidR="00245A55" w:rsidRDefault="00245A55" w:rsidP="00245A55">
            <w:pPr>
              <w:pStyle w:val="KeinLeerraum"/>
              <w:spacing w:line="360" w:lineRule="auto"/>
              <w:jc w:val="both"/>
              <w:rPr>
                <w:rFonts w:ascii="Arial" w:hAnsi="Arial" w:cs="Arial"/>
              </w:rPr>
            </w:pPr>
            <w:r>
              <w:rPr>
                <w:rFonts w:ascii="Arial" w:hAnsi="Arial" w:cs="Arial"/>
              </w:rPr>
              <w:t>SCAN is the abbreviation for Scientific Content Analysis and it is similar to statement analysis. This cross-cultural (which makes it comparable) analysis helps more to detect indirect deception. Normally a suspect doesn’t tell blatant lies so it helps the investigator to find indications for fraud or maybe he can convict the fraudster. For an analysis it is necessary to have a truthful statement from the victim or the suspect to compare it with others. SCAN is used to find shifts in the pronouns or gaps in the narrative because indirect deception includes the following points:</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involves hedging</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leaving out critical facts</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pretending to be forgetful or ignorant</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using a choice of words that distances them from the event</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using “verbal trickery”</w:t>
            </w:r>
          </w:p>
          <w:p w:rsidR="00245A55" w:rsidRDefault="00245A55" w:rsidP="00245A55">
            <w:pPr>
              <w:pStyle w:val="KeinLeerraum"/>
              <w:rPr>
                <w:rFonts w:ascii="Arial" w:hAnsi="Arial" w:cs="Arial"/>
              </w:rPr>
            </w:pPr>
          </w:p>
          <w:p w:rsidR="00245A55" w:rsidRDefault="00245A55" w:rsidP="00245A55">
            <w:pPr>
              <w:pStyle w:val="KeinLeerraum"/>
              <w:rPr>
                <w:rFonts w:ascii="Arial" w:hAnsi="Arial" w:cs="Arial"/>
                <w:b/>
              </w:rPr>
            </w:pPr>
            <w:r w:rsidRPr="001F015C">
              <w:rPr>
                <w:rFonts w:ascii="Arial" w:hAnsi="Arial" w:cs="Arial"/>
                <w:b/>
              </w:rPr>
              <w:t xml:space="preserve">IV. </w:t>
            </w:r>
            <w:r>
              <w:rPr>
                <w:rFonts w:ascii="Arial" w:hAnsi="Arial" w:cs="Arial"/>
                <w:b/>
              </w:rPr>
              <w:t>What are visual assessing cues? How do eyes of the victim help the interviewer?</w:t>
            </w:r>
          </w:p>
          <w:p w:rsidR="00245A55" w:rsidRDefault="00245A55" w:rsidP="00245A55">
            <w:pPr>
              <w:pStyle w:val="KeinLeerraum"/>
              <w:spacing w:line="360" w:lineRule="auto"/>
              <w:rPr>
                <w:rFonts w:ascii="Arial" w:hAnsi="Arial" w:cs="Arial"/>
              </w:rPr>
            </w:pPr>
            <w:r>
              <w:rPr>
                <w:rFonts w:ascii="Arial" w:hAnsi="Arial" w:cs="Arial"/>
              </w:rPr>
              <w:t xml:space="preserve">All people communicate also with eyes not only with their body. One technique to analyze the eye language is called Visual Accessing Cues (VAC). It is important to know if the victim is </w:t>
            </w:r>
            <w:proofErr w:type="gramStart"/>
            <w:r>
              <w:rPr>
                <w:rFonts w:ascii="Arial" w:hAnsi="Arial" w:cs="Arial"/>
              </w:rPr>
              <w:t>left- or right-handed</w:t>
            </w:r>
            <w:proofErr w:type="gramEnd"/>
            <w:r>
              <w:rPr>
                <w:rFonts w:ascii="Arial" w:hAnsi="Arial" w:cs="Arial"/>
              </w:rPr>
              <w:t xml:space="preserve"> because the technique works only with right-handed. Depending on the situation the eyes look in different directions; e. g. people who looking to left and up recalling the past in visual image like remembering of colors from a specific thing. Cues that occurs when a victim doesn’t tell the truth or try to deceive could be:</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Blinking: People under stress blink more than the normal 20 times.</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Gazing downward: That’s a signal for guilt, defeat or submission</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Raising eyebrows stand for surprise, disbelief, frustration and uncertainty</w:t>
            </w:r>
          </w:p>
          <w:p w:rsidR="00245A55" w:rsidRPr="0037322D" w:rsidRDefault="00245A55" w:rsidP="00245A55">
            <w:pPr>
              <w:pStyle w:val="KeinLeerraum"/>
              <w:numPr>
                <w:ilvl w:val="0"/>
                <w:numId w:val="11"/>
              </w:numPr>
              <w:spacing w:line="360" w:lineRule="auto"/>
              <w:jc w:val="both"/>
              <w:rPr>
                <w:rFonts w:ascii="Arial" w:hAnsi="Arial" w:cs="Arial"/>
              </w:rPr>
            </w:pPr>
            <w:r>
              <w:rPr>
                <w:rFonts w:ascii="Arial" w:hAnsi="Arial" w:cs="Arial"/>
              </w:rPr>
              <w:t>Dilation of pupils indicates interest in something</w:t>
            </w:r>
          </w:p>
          <w:p w:rsidR="00245A55" w:rsidRDefault="00245A55" w:rsidP="00245A55">
            <w:pPr>
              <w:pStyle w:val="KeinLeerraum"/>
              <w:rPr>
                <w:rFonts w:ascii="Arial" w:hAnsi="Arial" w:cs="Arial"/>
              </w:rPr>
            </w:pPr>
          </w:p>
          <w:p w:rsidR="00245A55" w:rsidRDefault="00245A55" w:rsidP="00245A55">
            <w:pPr>
              <w:pStyle w:val="KeinLeerraum"/>
              <w:rPr>
                <w:rFonts w:ascii="Arial" w:hAnsi="Arial" w:cs="Arial"/>
                <w:b/>
              </w:rPr>
            </w:pPr>
            <w:r w:rsidRPr="003311BF">
              <w:rPr>
                <w:rFonts w:ascii="Arial" w:hAnsi="Arial" w:cs="Arial"/>
                <w:b/>
              </w:rPr>
              <w:t xml:space="preserve">V. </w:t>
            </w:r>
            <w:r>
              <w:rPr>
                <w:rFonts w:ascii="Arial" w:hAnsi="Arial" w:cs="Arial"/>
                <w:b/>
              </w:rPr>
              <w:t>In addition to body language there are other cues as well which help to identify the lies. What are these?</w:t>
            </w:r>
          </w:p>
          <w:p w:rsidR="00245A55" w:rsidRDefault="00245A55" w:rsidP="00245A55">
            <w:pPr>
              <w:pStyle w:val="KeinLeerraum"/>
              <w:spacing w:line="360" w:lineRule="auto"/>
              <w:jc w:val="both"/>
              <w:rPr>
                <w:rFonts w:ascii="Arial" w:hAnsi="Arial" w:cs="Arial"/>
              </w:rPr>
            </w:pPr>
            <w:r>
              <w:rPr>
                <w:rFonts w:ascii="Arial" w:hAnsi="Arial" w:cs="Arial"/>
              </w:rPr>
              <w:t>In addition to body language there are other cues which help to identify lies. This could be as follows:</w:t>
            </w:r>
          </w:p>
          <w:p w:rsidR="00245A55" w:rsidRDefault="00245A55" w:rsidP="00245A55">
            <w:pPr>
              <w:pStyle w:val="KeinLeerraum"/>
              <w:numPr>
                <w:ilvl w:val="0"/>
                <w:numId w:val="12"/>
              </w:numPr>
              <w:spacing w:line="360" w:lineRule="auto"/>
              <w:jc w:val="both"/>
              <w:rPr>
                <w:rFonts w:ascii="Arial" w:hAnsi="Arial" w:cs="Arial"/>
              </w:rPr>
            </w:pPr>
            <w:r>
              <w:rPr>
                <w:rFonts w:ascii="Arial" w:hAnsi="Arial" w:cs="Arial"/>
              </w:rPr>
              <w:t>Interpersonal interactions; e. g. shaking head and say “yes”</w:t>
            </w:r>
          </w:p>
          <w:p w:rsidR="00245A55" w:rsidRDefault="00245A55" w:rsidP="00245A55">
            <w:pPr>
              <w:pStyle w:val="KeinLeerraum"/>
              <w:numPr>
                <w:ilvl w:val="0"/>
                <w:numId w:val="12"/>
              </w:numPr>
              <w:spacing w:line="360" w:lineRule="auto"/>
              <w:jc w:val="both"/>
              <w:rPr>
                <w:rFonts w:ascii="Arial" w:hAnsi="Arial" w:cs="Arial"/>
              </w:rPr>
            </w:pPr>
            <w:r>
              <w:rPr>
                <w:rFonts w:ascii="Arial" w:hAnsi="Arial" w:cs="Arial"/>
              </w:rPr>
              <w:t>Emotional states; e. g. avoiding of touches from the investigator</w:t>
            </w:r>
          </w:p>
          <w:p w:rsidR="00245A55" w:rsidRDefault="00245A55" w:rsidP="00245A55">
            <w:pPr>
              <w:pStyle w:val="KeinLeerraum"/>
              <w:numPr>
                <w:ilvl w:val="0"/>
                <w:numId w:val="12"/>
              </w:numPr>
              <w:spacing w:line="360" w:lineRule="auto"/>
              <w:jc w:val="both"/>
              <w:rPr>
                <w:rFonts w:ascii="Arial" w:hAnsi="Arial" w:cs="Arial"/>
              </w:rPr>
            </w:pPr>
            <w:r>
              <w:rPr>
                <w:rFonts w:ascii="Arial" w:hAnsi="Arial" w:cs="Arial"/>
              </w:rPr>
              <w:t>Verbal content; fast content-related reflection of the asked question</w:t>
            </w:r>
          </w:p>
          <w:p w:rsidR="00245A55" w:rsidRDefault="00245A55" w:rsidP="00245A55">
            <w:pPr>
              <w:pStyle w:val="KeinLeerraum"/>
              <w:numPr>
                <w:ilvl w:val="0"/>
                <w:numId w:val="12"/>
              </w:numPr>
              <w:spacing w:line="360" w:lineRule="auto"/>
              <w:jc w:val="both"/>
              <w:rPr>
                <w:rFonts w:ascii="Arial" w:hAnsi="Arial" w:cs="Arial"/>
              </w:rPr>
            </w:pPr>
            <w:r>
              <w:rPr>
                <w:rFonts w:ascii="Arial" w:hAnsi="Arial" w:cs="Arial"/>
              </w:rPr>
              <w:t>How comments are phrased; e. g. using of pronouns that creates a distance from people or events like “the equipment” instead of “my equipment”</w:t>
            </w:r>
          </w:p>
          <w:p w:rsidR="00245A55" w:rsidRDefault="00245A55" w:rsidP="00245A55">
            <w:pPr>
              <w:pStyle w:val="KeinLeerraum"/>
              <w:numPr>
                <w:ilvl w:val="0"/>
                <w:numId w:val="12"/>
              </w:numPr>
              <w:spacing w:line="360" w:lineRule="auto"/>
              <w:jc w:val="both"/>
              <w:rPr>
                <w:rFonts w:ascii="Arial" w:hAnsi="Arial" w:cs="Arial"/>
              </w:rPr>
            </w:pPr>
            <w:r>
              <w:rPr>
                <w:rFonts w:ascii="Arial" w:hAnsi="Arial" w:cs="Arial"/>
              </w:rPr>
              <w:t xml:space="preserve">Psychological frames; e. g. missing details in lies or deceitful statements    </w:t>
            </w:r>
          </w:p>
          <w:p w:rsidR="00245A55" w:rsidRDefault="00245A55" w:rsidP="00245A55">
            <w:pPr>
              <w:pStyle w:val="KeinLeerraum"/>
              <w:spacing w:line="360" w:lineRule="auto"/>
              <w:jc w:val="both"/>
              <w:rPr>
                <w:rFonts w:ascii="Arial" w:hAnsi="Arial" w:cs="Arial"/>
              </w:rPr>
            </w:pPr>
          </w:p>
          <w:p w:rsidR="00141FDC" w:rsidRDefault="00141FDC" w:rsidP="00245A55">
            <w:pPr>
              <w:pStyle w:val="KeinLeerraum"/>
              <w:spacing w:line="360" w:lineRule="auto"/>
              <w:jc w:val="both"/>
              <w:rPr>
                <w:rFonts w:ascii="Arial" w:hAnsi="Arial" w:cs="Arial"/>
              </w:rPr>
            </w:pPr>
          </w:p>
          <w:p w:rsidR="00141FDC" w:rsidRDefault="00141FDC" w:rsidP="00245A55">
            <w:pPr>
              <w:pStyle w:val="KeinLeerraum"/>
              <w:spacing w:line="360" w:lineRule="auto"/>
              <w:jc w:val="both"/>
              <w:rPr>
                <w:rFonts w:ascii="Arial" w:hAnsi="Arial" w:cs="Arial"/>
              </w:rPr>
            </w:pPr>
          </w:p>
          <w:p w:rsidR="00245A55" w:rsidRDefault="00245A55" w:rsidP="00245A55">
            <w:pPr>
              <w:pStyle w:val="KeinLeerraum"/>
              <w:rPr>
                <w:rFonts w:ascii="Arial" w:hAnsi="Arial" w:cs="Arial"/>
                <w:b/>
              </w:rPr>
            </w:pPr>
            <w:r w:rsidRPr="001F6740">
              <w:rPr>
                <w:rFonts w:ascii="Arial" w:hAnsi="Arial" w:cs="Arial"/>
                <w:b/>
              </w:rPr>
              <w:t xml:space="preserve">2. </w:t>
            </w:r>
            <w:r>
              <w:rPr>
                <w:rFonts w:ascii="Arial" w:hAnsi="Arial" w:cs="Arial"/>
                <w:b/>
              </w:rPr>
              <w:t xml:space="preserve">“Asking questions in an audit is different from asking questions in fraud investigation.” Discuss. </w:t>
            </w:r>
          </w:p>
          <w:p w:rsidR="00245A55" w:rsidRDefault="00245A55" w:rsidP="00245A55">
            <w:pPr>
              <w:pStyle w:val="KeinLeerraum"/>
              <w:spacing w:line="360" w:lineRule="auto"/>
              <w:rPr>
                <w:rFonts w:ascii="Arial" w:hAnsi="Arial" w:cs="Arial"/>
              </w:rPr>
            </w:pPr>
            <w:r>
              <w:rPr>
                <w:rFonts w:ascii="Arial" w:hAnsi="Arial" w:cs="Arial"/>
              </w:rPr>
              <w:t>In a “normal” audit the focus has no criminal background. That’s one of the main reason why asking questions is different from questions in fraud investigations. People in an audit are prepared because</w:t>
            </w:r>
            <w:r w:rsidR="00141FDC">
              <w:rPr>
                <w:rFonts w:ascii="Arial" w:hAnsi="Arial" w:cs="Arial"/>
              </w:rPr>
              <w:t xml:space="preserve"> maybe</w:t>
            </w:r>
            <w:r>
              <w:rPr>
                <w:rFonts w:ascii="Arial" w:hAnsi="Arial" w:cs="Arial"/>
              </w:rPr>
              <w:t xml:space="preserve"> they receive a time table and get some information about the content of the audit</w:t>
            </w:r>
            <w:r w:rsidR="00141FDC">
              <w:rPr>
                <w:rFonts w:ascii="Arial" w:hAnsi="Arial" w:cs="Arial"/>
              </w:rPr>
              <w:t xml:space="preserve"> in advance</w:t>
            </w:r>
            <w:r>
              <w:rPr>
                <w:rFonts w:ascii="Arial" w:hAnsi="Arial" w:cs="Arial"/>
              </w:rPr>
              <w:t xml:space="preserve">. Also an important point is that </w:t>
            </w:r>
            <w:r w:rsidR="00141FDC">
              <w:rPr>
                <w:rFonts w:ascii="Arial" w:hAnsi="Arial" w:cs="Arial"/>
              </w:rPr>
              <w:t>during audit specific processes</w:t>
            </w:r>
            <w:r>
              <w:rPr>
                <w:rFonts w:ascii="Arial" w:hAnsi="Arial" w:cs="Arial"/>
              </w:rPr>
              <w:t xml:space="preserve"> </w:t>
            </w:r>
            <w:r w:rsidR="00141FDC">
              <w:rPr>
                <w:rFonts w:ascii="Arial" w:hAnsi="Arial" w:cs="Arial"/>
              </w:rPr>
              <w:t xml:space="preserve">or issues </w:t>
            </w:r>
            <w:r>
              <w:rPr>
                <w:rFonts w:ascii="Arial" w:hAnsi="Arial" w:cs="Arial"/>
              </w:rPr>
              <w:t xml:space="preserve">are in the foreground; e. g. during an internal audit the auditors are looking for financial processes within the organization. The questions are detailed and focused. Normally, the interviewee has no reason to lie or deceive. </w:t>
            </w:r>
          </w:p>
          <w:p w:rsidR="00245A55" w:rsidRDefault="00245A55" w:rsidP="00245A55">
            <w:pPr>
              <w:pStyle w:val="KeinLeerraum"/>
              <w:spacing w:line="360" w:lineRule="auto"/>
              <w:rPr>
                <w:rFonts w:ascii="Arial" w:hAnsi="Arial" w:cs="Arial"/>
              </w:rPr>
            </w:pPr>
            <w:r>
              <w:rPr>
                <w:rFonts w:ascii="Arial" w:hAnsi="Arial" w:cs="Arial"/>
              </w:rPr>
              <w:t xml:space="preserve">In a fraud investigation the situation is different. The stress for all participants is much higher. For the investigator it’s important to filter all signals from the interviewee, verbal and non-verbal. It could be that they make telltale signs that detect lies or deceptions. The investigator must have a good knowledge of some special interview techniques like statement analysis to detect attempted cheating.   </w:t>
            </w:r>
          </w:p>
          <w:p w:rsidR="00245A55" w:rsidRDefault="00245A55" w:rsidP="00245A55">
            <w:pPr>
              <w:pStyle w:val="KeinLeerraum"/>
              <w:rPr>
                <w:rFonts w:ascii="Arial" w:hAnsi="Arial" w:cs="Arial"/>
              </w:rPr>
            </w:pPr>
          </w:p>
          <w:p w:rsidR="00245A55" w:rsidRDefault="00245A55" w:rsidP="00245A55">
            <w:pPr>
              <w:pStyle w:val="KeinLeerraum"/>
              <w:rPr>
                <w:rFonts w:ascii="Arial" w:hAnsi="Arial" w:cs="Arial"/>
                <w:b/>
              </w:rPr>
            </w:pPr>
            <w:r w:rsidRPr="001F6740">
              <w:rPr>
                <w:rFonts w:ascii="Arial" w:hAnsi="Arial" w:cs="Arial"/>
                <w:b/>
              </w:rPr>
              <w:t xml:space="preserve">3. </w:t>
            </w:r>
            <w:r>
              <w:rPr>
                <w:rFonts w:ascii="Arial" w:hAnsi="Arial" w:cs="Arial"/>
                <w:b/>
              </w:rPr>
              <w:t>Discuss the interviewing procedure for a financially sophisticated victim.</w:t>
            </w:r>
          </w:p>
          <w:p w:rsidR="00245A55" w:rsidRDefault="00245A55" w:rsidP="00245A55">
            <w:pPr>
              <w:pStyle w:val="KeinLeerraum"/>
              <w:spacing w:line="360" w:lineRule="auto"/>
              <w:rPr>
                <w:rFonts w:ascii="Arial" w:hAnsi="Arial" w:cs="Arial"/>
              </w:rPr>
            </w:pPr>
            <w:r>
              <w:rPr>
                <w:rFonts w:ascii="Arial" w:hAnsi="Arial" w:cs="Arial"/>
              </w:rPr>
              <w:t>For a financially sophisticated victim the interviewing procedures should have the following steps and details:</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Prepare yourself: Before the interview starts it is important for an investigator to be well prepared. It means that he knows all available details and facts about the fraud/financial crime. He should obtain and search for information about the victim (background, private assets etc.)</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Think before the interview: Also important for the interview is to knows the objectives of the investigation. Therefore the investigator should write down a concept or have it in mind.</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Set the tone:</w:t>
            </w:r>
            <w:bookmarkStart w:id="0" w:name="_GoBack"/>
            <w:bookmarkEnd w:id="0"/>
            <w:r>
              <w:rPr>
                <w:rFonts w:ascii="Arial" w:hAnsi="Arial" w:cs="Arial"/>
              </w:rPr>
              <w:t xml:space="preserve"> The investigator should set an appropriate tone and atmosphere during an interview, e. g. not to slow, not to fast, friendly or decisive. A victim could be angry, scared, disappointed etc. so an investigator needs to take care of the current situation. </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Look for non-verbal behavior: The victim could be nervous, unsure or confident. A good investigator perceives the non-verbal behavior of the interviewee.</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Ask your questions in flow and be direct to the point: For an interviewee it is important that the questions are clear so it is easier for the victim to give helpful answers.</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 xml:space="preserve">Do more listening than talking and take your time: Often a financial investigation is complex and has a lot of details so it is necessary that both victim and investigator have enough time to ask questions, explain situation etc. Than it is enough time to </w:t>
            </w:r>
            <w:r>
              <w:rPr>
                <w:rFonts w:ascii="Arial" w:hAnsi="Arial" w:cs="Arial"/>
              </w:rPr>
              <w:lastRenderedPageBreak/>
              <w:t xml:space="preserve">discuss, e. g. new aspects. </w:t>
            </w:r>
          </w:p>
          <w:p w:rsidR="00245A55" w:rsidRDefault="00245A55" w:rsidP="00245A55">
            <w:pPr>
              <w:pStyle w:val="KeinLeerraum"/>
              <w:numPr>
                <w:ilvl w:val="0"/>
                <w:numId w:val="11"/>
              </w:numPr>
              <w:spacing w:line="360" w:lineRule="auto"/>
              <w:jc w:val="both"/>
              <w:rPr>
                <w:rFonts w:ascii="Arial" w:hAnsi="Arial" w:cs="Arial"/>
              </w:rPr>
            </w:pPr>
            <w:r>
              <w:rPr>
                <w:rFonts w:ascii="Arial" w:hAnsi="Arial" w:cs="Arial"/>
              </w:rPr>
              <w:t xml:space="preserve">Verify the evidence and get in writing: At the end of the interview the investigator needs to summarize the results. </w:t>
            </w:r>
          </w:p>
          <w:p w:rsidR="00CC2FB3" w:rsidRDefault="00CC2FB3" w:rsidP="00FE2144">
            <w:pPr>
              <w:pStyle w:val="KeinLeerraum"/>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95564D" w:rsidRDefault="0095564D" w:rsidP="00A851DA">
      <w:pPr>
        <w:autoSpaceDE w:val="0"/>
        <w:autoSpaceDN w:val="0"/>
        <w:adjustRightInd w:val="0"/>
        <w:spacing w:after="0" w:line="240" w:lineRule="auto"/>
        <w:rPr>
          <w:rFonts w:cs="CalvertMT-Bold"/>
          <w:b/>
          <w:bCs/>
          <w:color w:val="002060"/>
          <w:sz w:val="28"/>
          <w:lang w:val="en-US"/>
        </w:rPr>
      </w:pPr>
    </w:p>
    <w:p w:rsidR="0095564D" w:rsidRPr="00B0415E" w:rsidRDefault="009556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C1B78" w:rsidRDefault="006C1B78" w:rsidP="00A851DA">
            <w:pPr>
              <w:rPr>
                <w:rFonts w:ascii="Arial" w:hAnsi="Arial" w:cs="Arial"/>
                <w:color w:val="000000"/>
              </w:rPr>
            </w:pPr>
            <w:r w:rsidRPr="006C1B78">
              <w:rPr>
                <w:rFonts w:ascii="Arial" w:hAnsi="Arial" w:cs="Arial"/>
                <w:color w:val="000000"/>
              </w:rPr>
              <w:t xml:space="preserve">Alexa </w:t>
            </w:r>
            <w:proofErr w:type="spellStart"/>
            <w:r w:rsidRPr="006C1B78">
              <w:rPr>
                <w:rFonts w:ascii="Arial" w:hAnsi="Arial" w:cs="Arial"/>
                <w:color w:val="000000"/>
              </w:rPr>
              <w:t>Ferrenberg</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6C1B78" w:rsidRDefault="00245A55" w:rsidP="00A851DA">
            <w:pPr>
              <w:rPr>
                <w:rFonts w:ascii="Arial" w:hAnsi="Arial" w:cs="Arial"/>
                <w:color w:val="000000"/>
              </w:rPr>
            </w:pPr>
            <w:r>
              <w:rPr>
                <w:rFonts w:ascii="Arial" w:hAnsi="Arial" w:cs="Arial"/>
                <w:color w:val="000000"/>
              </w:rPr>
              <w:t>31</w:t>
            </w:r>
            <w:r w:rsidR="0095564D">
              <w:rPr>
                <w:rFonts w:ascii="Arial" w:hAnsi="Arial" w:cs="Arial"/>
                <w:color w:val="000000"/>
              </w:rPr>
              <w:t>.07.2015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E214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34E" w:rsidRDefault="0021234E" w:rsidP="00CB4D0A">
      <w:pPr>
        <w:spacing w:after="0" w:line="240" w:lineRule="auto"/>
      </w:pPr>
      <w:r>
        <w:separator/>
      </w:r>
    </w:p>
  </w:endnote>
  <w:endnote w:type="continuationSeparator" w:id="0">
    <w:p w:rsidR="0021234E" w:rsidRDefault="002123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34E" w:rsidRDefault="0021234E" w:rsidP="00CB4D0A">
      <w:pPr>
        <w:spacing w:after="0" w:line="240" w:lineRule="auto"/>
      </w:pPr>
      <w:r>
        <w:separator/>
      </w:r>
    </w:p>
  </w:footnote>
  <w:footnote w:type="continuationSeparator" w:id="0">
    <w:p w:rsidR="0021234E" w:rsidRDefault="002123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82141D"/>
    <w:multiLevelType w:val="hybridMultilevel"/>
    <w:tmpl w:val="0CFA0E98"/>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28C2B46"/>
    <w:multiLevelType w:val="hybridMultilevel"/>
    <w:tmpl w:val="89BA3B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1D130B31"/>
    <w:multiLevelType w:val="hybridMultilevel"/>
    <w:tmpl w:val="1BA609F4"/>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E6A7F5D"/>
    <w:multiLevelType w:val="hybridMultilevel"/>
    <w:tmpl w:val="64C43A3C"/>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03D186E"/>
    <w:multiLevelType w:val="hybridMultilevel"/>
    <w:tmpl w:val="BDEC92B6"/>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7B475B5"/>
    <w:multiLevelType w:val="hybridMultilevel"/>
    <w:tmpl w:val="0884F3D8"/>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7B81CED"/>
    <w:multiLevelType w:val="hybridMultilevel"/>
    <w:tmpl w:val="060651C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0DA5B66"/>
    <w:multiLevelType w:val="hybridMultilevel"/>
    <w:tmpl w:val="54FA8770"/>
    <w:lvl w:ilvl="0" w:tplc="35E0602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E1023FC"/>
    <w:multiLevelType w:val="hybridMultilevel"/>
    <w:tmpl w:val="EAA8C57C"/>
    <w:lvl w:ilvl="0" w:tplc="9BC43A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0972478"/>
    <w:multiLevelType w:val="hybridMultilevel"/>
    <w:tmpl w:val="DD68938C"/>
    <w:lvl w:ilvl="0" w:tplc="D96814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730731C0"/>
    <w:multiLevelType w:val="hybridMultilevel"/>
    <w:tmpl w:val="8E84D994"/>
    <w:lvl w:ilvl="0" w:tplc="7F4025E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1"/>
  </w:num>
  <w:num w:numId="5">
    <w:abstractNumId w:val="10"/>
  </w:num>
  <w:num w:numId="6">
    <w:abstractNumId w:val="9"/>
  </w:num>
  <w:num w:numId="7">
    <w:abstractNumId w:val="3"/>
  </w:num>
  <w:num w:numId="8">
    <w:abstractNumId w:val="5"/>
  </w:num>
  <w:num w:numId="9">
    <w:abstractNumId w:val="11"/>
  </w:num>
  <w:num w:numId="10">
    <w:abstractNumId w:val="4"/>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41FDC"/>
    <w:rsid w:val="00157CF6"/>
    <w:rsid w:val="00182416"/>
    <w:rsid w:val="00187EB4"/>
    <w:rsid w:val="001A553C"/>
    <w:rsid w:val="001F0481"/>
    <w:rsid w:val="0020451E"/>
    <w:rsid w:val="00206B9D"/>
    <w:rsid w:val="0021234E"/>
    <w:rsid w:val="0023259C"/>
    <w:rsid w:val="00245A55"/>
    <w:rsid w:val="002B0BD7"/>
    <w:rsid w:val="002B573D"/>
    <w:rsid w:val="002C5CB2"/>
    <w:rsid w:val="002F779F"/>
    <w:rsid w:val="00303F81"/>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8515A"/>
    <w:rsid w:val="00585D65"/>
    <w:rsid w:val="00591365"/>
    <w:rsid w:val="005B31E4"/>
    <w:rsid w:val="006034F6"/>
    <w:rsid w:val="00607874"/>
    <w:rsid w:val="00607E77"/>
    <w:rsid w:val="00617BB3"/>
    <w:rsid w:val="00645CDD"/>
    <w:rsid w:val="006823A7"/>
    <w:rsid w:val="006C1B78"/>
    <w:rsid w:val="006F025A"/>
    <w:rsid w:val="0070347F"/>
    <w:rsid w:val="0070678E"/>
    <w:rsid w:val="00831C11"/>
    <w:rsid w:val="008A46BE"/>
    <w:rsid w:val="008A60B4"/>
    <w:rsid w:val="008B3C31"/>
    <w:rsid w:val="008B64FE"/>
    <w:rsid w:val="00935BF7"/>
    <w:rsid w:val="0095442C"/>
    <w:rsid w:val="0095564D"/>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15512"/>
    <w:rsid w:val="00E30679"/>
    <w:rsid w:val="00E4597D"/>
    <w:rsid w:val="00E54832"/>
    <w:rsid w:val="00E56A90"/>
    <w:rsid w:val="00E641CC"/>
    <w:rsid w:val="00EA30AB"/>
    <w:rsid w:val="00EB3925"/>
    <w:rsid w:val="00ED4914"/>
    <w:rsid w:val="00FC34ED"/>
    <w:rsid w:val="00FE214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CB4D0A"/>
  </w:style>
  <w:style w:type="paragraph" w:styleId="Fuzeile">
    <w:name w:val="footer"/>
    <w:basedOn w:val="Standard"/>
    <w:link w:val="FuzeileZchn"/>
    <w:uiPriority w:val="99"/>
    <w:semiHidden/>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lenraster">
    <w:name w:val="Table Grid"/>
    <w:basedOn w:val="NormaleTabelle"/>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E15512"/>
    <w:pPr>
      <w:spacing w:after="0" w:line="240" w:lineRule="auto"/>
    </w:pPr>
  </w:style>
  <w:style w:type="paragraph" w:styleId="Funotentext">
    <w:name w:val="footnote text"/>
    <w:basedOn w:val="Standard"/>
    <w:link w:val="FunotentextZchn"/>
    <w:uiPriority w:val="99"/>
    <w:semiHidden/>
    <w:unhideWhenUsed/>
    <w:rsid w:val="00E1551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15512"/>
    <w:rPr>
      <w:sz w:val="20"/>
      <w:szCs w:val="20"/>
      <w:lang w:val="de-DE"/>
    </w:rPr>
  </w:style>
  <w:style w:type="character" w:styleId="Funotenzeichen">
    <w:name w:val="footnote reference"/>
    <w:basedOn w:val="Absatz-Standardschriftart"/>
    <w:uiPriority w:val="99"/>
    <w:semiHidden/>
    <w:unhideWhenUsed/>
    <w:rsid w:val="00E155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F0E34-BDCE-4A41-BD5E-5F61F15EA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1002</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Bilfinger SE</Company>
  <LinksUpToDate>false</LinksUpToDate>
  <CharactersWithSpaces>7301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Ferrenberg, Alexa</cp:lastModifiedBy>
  <cp:revision>15</cp:revision>
  <dcterms:created xsi:type="dcterms:W3CDTF">2015-02-25T14:29:00Z</dcterms:created>
  <dcterms:modified xsi:type="dcterms:W3CDTF">2015-07-31T14:51:00Z</dcterms:modified>
</cp:coreProperties>
</file>