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EF5CF6">
            <w:pPr>
              <w:rPr>
                <w:rFonts w:ascii="Arial Black" w:hAnsi="Arial Black"/>
              </w:rPr>
            </w:pPr>
            <w:r>
              <w:rPr>
                <w:rFonts w:ascii="Arial Black" w:hAnsi="Arial Black"/>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780EB4" w:rsidRDefault="00780EB4" w:rsidP="00FF38D0">
      <w:pPr>
        <w:rPr>
          <w:rFonts w:ascii="Arial Black" w:hAnsi="Arial Black"/>
          <w:sz w:val="24"/>
          <w:szCs w:val="24"/>
        </w:rPr>
      </w:pPr>
    </w:p>
    <w:p w:rsidR="00FF38D0" w:rsidRPr="002F0BCB" w:rsidRDefault="00FF38D0" w:rsidP="00FF38D0">
      <w:pPr>
        <w:rPr>
          <w:rFonts w:ascii="Arial Black" w:hAnsi="Arial Black"/>
          <w:sz w:val="24"/>
          <w:szCs w:val="24"/>
        </w:rPr>
      </w:pPr>
      <w:r w:rsidRPr="002F0BCB">
        <w:rPr>
          <w:rFonts w:ascii="Arial Black" w:hAnsi="Arial Black"/>
          <w:sz w:val="24"/>
          <w:szCs w:val="24"/>
        </w:rPr>
        <w:lastRenderedPageBreak/>
        <w:t xml:space="preserve">Page 1                              </w:t>
      </w:r>
      <w:r>
        <w:rPr>
          <w:rFonts w:ascii="Arial Black" w:hAnsi="Arial Black"/>
          <w:sz w:val="24"/>
          <w:szCs w:val="24"/>
        </w:rPr>
        <w:t xml:space="preserve">                  </w:t>
      </w:r>
      <w:r w:rsidRPr="002F0BCB">
        <w:rPr>
          <w:rFonts w:ascii="Arial Black" w:hAnsi="Arial Black"/>
          <w:sz w:val="24"/>
          <w:szCs w:val="24"/>
        </w:rPr>
        <w:t>Student name: Chanda chilekwa</w:t>
      </w:r>
    </w:p>
    <w:p w:rsidR="00FF38D0" w:rsidRPr="002F0BCB" w:rsidRDefault="00FF38D0" w:rsidP="00FF38D0">
      <w:pPr>
        <w:rPr>
          <w:rFonts w:ascii="Arial Black" w:hAnsi="Arial Black"/>
          <w:sz w:val="24"/>
          <w:szCs w:val="24"/>
        </w:rPr>
      </w:pPr>
      <w:r w:rsidRPr="002F0BCB">
        <w:rPr>
          <w:rFonts w:ascii="Arial Black" w:hAnsi="Arial Black"/>
          <w:sz w:val="24"/>
          <w:szCs w:val="24"/>
        </w:rPr>
        <w:t xml:space="preserve">                                                           Student ID No: 1669</w:t>
      </w:r>
    </w:p>
    <w:p w:rsidR="00FF38D0" w:rsidRDefault="00FF38D0" w:rsidP="00FF38D0">
      <w:pPr>
        <w:rPr>
          <w:rFonts w:ascii="Arial Black" w:hAnsi="Arial Black"/>
          <w:sz w:val="24"/>
          <w:szCs w:val="24"/>
        </w:rPr>
      </w:pPr>
      <w:r w:rsidRPr="002F0BCB">
        <w:rPr>
          <w:rFonts w:ascii="Arial Black" w:hAnsi="Arial Black"/>
          <w:sz w:val="24"/>
          <w:szCs w:val="24"/>
        </w:rPr>
        <w:t xml:space="preserve">                                          </w:t>
      </w:r>
      <w:r>
        <w:rPr>
          <w:rFonts w:ascii="Arial Black" w:hAnsi="Arial Black"/>
          <w:sz w:val="24"/>
          <w:szCs w:val="24"/>
        </w:rPr>
        <w:t xml:space="preserve">                 </w:t>
      </w:r>
      <w:r w:rsidRPr="002F0BCB">
        <w:rPr>
          <w:rFonts w:ascii="Arial Black" w:hAnsi="Arial Black"/>
          <w:sz w:val="24"/>
          <w:szCs w:val="24"/>
        </w:rPr>
        <w:t>Assignment</w:t>
      </w:r>
      <w:r>
        <w:rPr>
          <w:rFonts w:ascii="Arial Black" w:hAnsi="Arial Black"/>
          <w:sz w:val="24"/>
          <w:szCs w:val="24"/>
        </w:rPr>
        <w:t xml:space="preserve"> </w:t>
      </w:r>
      <w:r w:rsidRPr="002F0BCB">
        <w:rPr>
          <w:rFonts w:ascii="Arial Black" w:hAnsi="Arial Black"/>
          <w:sz w:val="24"/>
          <w:szCs w:val="24"/>
        </w:rPr>
        <w:t>#: 7</w:t>
      </w:r>
    </w:p>
    <w:p w:rsidR="00FF38D0" w:rsidRDefault="00FF38D0" w:rsidP="00FF38D0">
      <w:pPr>
        <w:rPr>
          <w:rFonts w:ascii="Arial Black" w:hAnsi="Arial Black"/>
          <w:sz w:val="24"/>
          <w:szCs w:val="24"/>
        </w:rPr>
      </w:pPr>
      <w:r>
        <w:rPr>
          <w:rFonts w:ascii="Arial Black" w:hAnsi="Arial Black"/>
          <w:sz w:val="24"/>
          <w:szCs w:val="24"/>
        </w:rPr>
        <w:t xml:space="preserve">Q1 (i) evidence associated with a financial crime does not necessarily have to be of a financial nature. Although the focus of any fraud investigation is on financial evidence, it is important that auditors and investigators do not rule out the possibility of valuable non-financial evidence.Non-financial sources of evidence range from interviews, handwriting analysing and document examination to the physiological traits of the fraudster. Physiological traits refers to the fraudster’s behaviour, expressions, or any communication that indicate the fraudster’s involvement in the crime. The central aim of physiological techniques is to detect fraud and deception. A fraudster who is committing a crime will invariable be secretive about his/her activities and may even be using deception in appearance and communication. Physiological concepts and techniques are also important for obtaining useful information. From an education point of view, interviewing techniques and legal aspects of an investigation are taught in arts and science schools whereas forensic accounting is taught at business schools. Generally speaking, an accounting major is not likely to possess much knowledge of subjects such as sociology, anthropology and psychology; therefore, he/she will not be familiar with the techniques required to detect deception. This unit attempts to familiarize students with these concepts and techniques. Evidence now supports the integration of microfinance with non-financial services as an approach that has potential for enormous contribution to poverty alleviation. This chapter will focus on the opportunities and challenges for microfinance organisations providing these integrated services. It also will provide supporting evidence that shows promising financial and health benefits of integration for the poor and the institutions that supports their </w:t>
      </w:r>
      <w:r w:rsidR="00780EB4">
        <w:rPr>
          <w:rFonts w:ascii="Arial Black" w:hAnsi="Arial Black"/>
          <w:sz w:val="24"/>
          <w:szCs w:val="24"/>
        </w:rPr>
        <w:t>self-help</w:t>
      </w:r>
      <w:r>
        <w:rPr>
          <w:rFonts w:ascii="Arial Black" w:hAnsi="Arial Black"/>
          <w:sz w:val="24"/>
          <w:szCs w:val="24"/>
        </w:rPr>
        <w:t xml:space="preserve"> efforts. </w:t>
      </w:r>
    </w:p>
    <w:p w:rsidR="00FF38D0" w:rsidRDefault="00FF38D0" w:rsidP="00FF38D0">
      <w:pPr>
        <w:rPr>
          <w:rFonts w:ascii="Arial Black" w:hAnsi="Arial Black"/>
          <w:sz w:val="24"/>
          <w:szCs w:val="24"/>
        </w:rPr>
      </w:pPr>
      <w:r>
        <w:rPr>
          <w:rFonts w:ascii="Arial Black" w:hAnsi="Arial Black"/>
          <w:sz w:val="24"/>
          <w:szCs w:val="24"/>
        </w:rPr>
        <w:lastRenderedPageBreak/>
        <w:t>Page 2                                     Student name: Chanda chilekwa</w:t>
      </w:r>
    </w:p>
    <w:p w:rsidR="00FF38D0" w:rsidRDefault="00FF38D0" w:rsidP="00FF38D0">
      <w:pPr>
        <w:rPr>
          <w:rFonts w:ascii="Arial Black" w:hAnsi="Arial Black"/>
          <w:sz w:val="24"/>
          <w:szCs w:val="24"/>
        </w:rPr>
      </w:pPr>
      <w:r>
        <w:rPr>
          <w:rFonts w:ascii="Arial Black" w:hAnsi="Arial Black"/>
          <w:sz w:val="24"/>
          <w:szCs w:val="24"/>
        </w:rPr>
        <w:t xml:space="preserve">                                                Student ID No: 1669</w:t>
      </w:r>
    </w:p>
    <w:p w:rsidR="00FF38D0" w:rsidRDefault="00FF38D0" w:rsidP="00FF38D0">
      <w:pPr>
        <w:rPr>
          <w:rFonts w:ascii="Arial Black" w:hAnsi="Arial Black"/>
          <w:sz w:val="24"/>
          <w:szCs w:val="24"/>
        </w:rPr>
      </w:pPr>
      <w:r>
        <w:rPr>
          <w:rFonts w:ascii="Arial Black" w:hAnsi="Arial Black"/>
          <w:sz w:val="24"/>
          <w:szCs w:val="24"/>
        </w:rPr>
        <w:t xml:space="preserve">                                                Assignment</w:t>
      </w:r>
      <w:r w:rsidR="00780EB4">
        <w:rPr>
          <w:rFonts w:ascii="Arial Black" w:hAnsi="Arial Black"/>
          <w:sz w:val="24"/>
          <w:szCs w:val="24"/>
        </w:rPr>
        <w:t xml:space="preserve"> #:</w:t>
      </w:r>
      <w:r>
        <w:rPr>
          <w:rFonts w:ascii="Arial Black" w:hAnsi="Arial Black"/>
          <w:sz w:val="24"/>
          <w:szCs w:val="24"/>
        </w:rPr>
        <w:t xml:space="preserve">  7</w:t>
      </w:r>
    </w:p>
    <w:p w:rsidR="00FF38D0" w:rsidRDefault="00FF38D0" w:rsidP="00FF38D0">
      <w:pPr>
        <w:rPr>
          <w:rFonts w:ascii="Arial Black" w:hAnsi="Arial Black"/>
          <w:sz w:val="24"/>
          <w:szCs w:val="24"/>
        </w:rPr>
      </w:pPr>
      <w:r>
        <w:rPr>
          <w:rFonts w:ascii="Arial Black" w:hAnsi="Arial Black"/>
          <w:sz w:val="24"/>
          <w:szCs w:val="24"/>
        </w:rPr>
        <w:t>Q1(ii) body language is widely known as a form of non-verbal communication involving the use of the body, and according to some researchers, they  put the level of nonverbal communication as high as 80 percent of all communication others have put it more reasonable at around 50-65 percent. A research done by albert merhrabian in 1971 noted a 7%-38%-55% rule denoting how much communication was conferred by words tone, and body language;.</w:t>
      </w:r>
    </w:p>
    <w:p w:rsidR="00FF38D0" w:rsidRDefault="00FF38D0" w:rsidP="00FF38D0">
      <w:pPr>
        <w:rPr>
          <w:rFonts w:ascii="Arial Black" w:hAnsi="Arial Black"/>
          <w:sz w:val="24"/>
          <w:szCs w:val="24"/>
        </w:rPr>
      </w:pPr>
      <w:r>
        <w:rPr>
          <w:rFonts w:ascii="Arial Black" w:hAnsi="Arial Black"/>
          <w:sz w:val="24"/>
          <w:szCs w:val="24"/>
        </w:rPr>
        <w:t xml:space="preserve">Given the results of the extensive research done on modes of communications, it would be correct to say that body language plays an important part in the way our messages are perceived by others. And since an interview is all about communication, it would logically be related that body language plays an equally important part during the interviewing process. </w:t>
      </w:r>
    </w:p>
    <w:p w:rsidR="00FF38D0" w:rsidRDefault="00FF38D0" w:rsidP="00FF38D0">
      <w:pPr>
        <w:rPr>
          <w:rFonts w:ascii="Arial Black" w:hAnsi="Arial Black"/>
          <w:sz w:val="24"/>
          <w:szCs w:val="24"/>
        </w:rPr>
      </w:pPr>
      <w:r>
        <w:rPr>
          <w:rFonts w:ascii="Arial Black" w:hAnsi="Arial Black"/>
          <w:sz w:val="24"/>
          <w:szCs w:val="24"/>
        </w:rPr>
        <w:t>I am not about to write on body languages or on the different modes of communications, simply because it is too huge a topic and I must admit I am no expert on this subject matter. However, based on my past experience as an executive recruiter, and help enlisted from my current co-workers client’s ex-colleagues and associates, I have compiled quite a lot of useful notes in sharing what the top 10 common tips to ensure good interview body language.</w:t>
      </w:r>
    </w:p>
    <w:p w:rsidR="00FF38D0" w:rsidRDefault="00FF38D0" w:rsidP="00FF38D0">
      <w:pPr>
        <w:rPr>
          <w:rFonts w:ascii="Arial Black" w:hAnsi="Arial Black"/>
          <w:sz w:val="24"/>
          <w:szCs w:val="24"/>
        </w:rPr>
      </w:pPr>
      <w:r>
        <w:rPr>
          <w:rFonts w:ascii="Arial Black" w:hAnsi="Arial Black"/>
          <w:sz w:val="24"/>
          <w:szCs w:val="24"/>
        </w:rPr>
        <w:t>I understand that validity of these tips may be debatable, and some of you may agree while others don’t. just take note that these tips came from a compilation of feedback, comments and information gathered form a variety of sources in the field form the people who interview or are interviewed, and it is to an extend, subjective. So let’s use these as references and hopefully it works for you.</w:t>
      </w:r>
    </w:p>
    <w:p w:rsidR="00FF38D0" w:rsidRDefault="00FF38D0" w:rsidP="00FF38D0">
      <w:pPr>
        <w:rPr>
          <w:rFonts w:ascii="Arial Black" w:hAnsi="Arial Black"/>
          <w:sz w:val="24"/>
          <w:szCs w:val="24"/>
        </w:rPr>
      </w:pPr>
      <w:r>
        <w:rPr>
          <w:rFonts w:ascii="Arial Black" w:hAnsi="Arial Black"/>
          <w:sz w:val="24"/>
          <w:szCs w:val="24"/>
        </w:rPr>
        <w:t xml:space="preserve">If you breathe deeply, not only are you relaxing by slowing your rapid, nervous heartbeat, you are also ensuring that your brain has as much oxygen as possible. </w:t>
      </w:r>
    </w:p>
    <w:p w:rsidR="00FF38D0" w:rsidRDefault="00FF38D0" w:rsidP="00FF38D0">
      <w:pPr>
        <w:rPr>
          <w:rFonts w:ascii="Arial Black" w:hAnsi="Arial Black"/>
          <w:sz w:val="24"/>
          <w:szCs w:val="24"/>
        </w:rPr>
      </w:pPr>
      <w:r>
        <w:rPr>
          <w:rFonts w:ascii="Arial Black" w:hAnsi="Arial Black"/>
          <w:sz w:val="24"/>
          <w:szCs w:val="24"/>
        </w:rPr>
        <w:lastRenderedPageBreak/>
        <w:t xml:space="preserve">Page 3                                     Student name: Chanda chilekwa </w:t>
      </w:r>
    </w:p>
    <w:p w:rsidR="00FF38D0" w:rsidRDefault="00FF38D0" w:rsidP="00FF38D0">
      <w:pPr>
        <w:rPr>
          <w:rFonts w:ascii="Arial Black" w:hAnsi="Arial Black"/>
          <w:sz w:val="24"/>
          <w:szCs w:val="24"/>
        </w:rPr>
      </w:pPr>
      <w:r>
        <w:rPr>
          <w:rFonts w:ascii="Arial Black" w:hAnsi="Arial Black"/>
          <w:sz w:val="24"/>
          <w:szCs w:val="24"/>
        </w:rPr>
        <w:t xml:space="preserve">                                                Student ID No: 1669</w:t>
      </w:r>
    </w:p>
    <w:p w:rsidR="00FF38D0" w:rsidRDefault="00FF38D0" w:rsidP="00FF38D0">
      <w:pPr>
        <w:rPr>
          <w:rFonts w:ascii="Arial Black" w:hAnsi="Arial Black"/>
          <w:sz w:val="24"/>
          <w:szCs w:val="24"/>
        </w:rPr>
      </w:pPr>
      <w:r>
        <w:rPr>
          <w:rFonts w:ascii="Arial Black" w:hAnsi="Arial Black"/>
          <w:sz w:val="24"/>
          <w:szCs w:val="24"/>
        </w:rPr>
        <w:t xml:space="preserve">                                                Assignment</w:t>
      </w:r>
      <w:r w:rsidR="00780EB4">
        <w:rPr>
          <w:rFonts w:ascii="Arial Black" w:hAnsi="Arial Black"/>
          <w:sz w:val="24"/>
          <w:szCs w:val="24"/>
        </w:rPr>
        <w:t>#:</w:t>
      </w:r>
      <w:r>
        <w:rPr>
          <w:rFonts w:ascii="Arial Black" w:hAnsi="Arial Black"/>
          <w:sz w:val="24"/>
          <w:szCs w:val="24"/>
        </w:rPr>
        <w:t xml:space="preserve"> 7</w:t>
      </w:r>
    </w:p>
    <w:p w:rsidR="00FF38D0" w:rsidRDefault="00780EB4" w:rsidP="00FF38D0">
      <w:pPr>
        <w:rPr>
          <w:rFonts w:ascii="Arial Black" w:hAnsi="Arial Black"/>
          <w:sz w:val="24"/>
          <w:szCs w:val="24"/>
        </w:rPr>
      </w:pPr>
      <w:r>
        <w:rPr>
          <w:rFonts w:ascii="Arial Black" w:hAnsi="Arial Black"/>
          <w:sz w:val="24"/>
          <w:szCs w:val="24"/>
        </w:rPr>
        <w:t>Q1 (</w:t>
      </w:r>
      <w:r w:rsidR="00FF38D0">
        <w:rPr>
          <w:rFonts w:ascii="Arial Black" w:hAnsi="Arial Black"/>
          <w:sz w:val="24"/>
          <w:szCs w:val="24"/>
        </w:rPr>
        <w:t>iii) scan depends on heavily upon analysing the statement, not upon observing kinesics or body language. The basic premises is that the structure and contents of a subject’s statement reveals whether there is an attempt at deception. Scan is cross cultural in the sense that an interrogator can conduct an analysis an in any language he understands.</w:t>
      </w:r>
    </w:p>
    <w:p w:rsidR="00FF38D0" w:rsidRDefault="00FF38D0" w:rsidP="00FF38D0">
      <w:pPr>
        <w:rPr>
          <w:rFonts w:ascii="Arial Black" w:hAnsi="Arial Black"/>
          <w:sz w:val="24"/>
          <w:szCs w:val="24"/>
        </w:rPr>
      </w:pPr>
      <w:r>
        <w:rPr>
          <w:rFonts w:ascii="Arial Black" w:hAnsi="Arial Black"/>
          <w:sz w:val="24"/>
          <w:szCs w:val="24"/>
        </w:rPr>
        <w:t>According to Sapir, at least 90% of statements made are truthful, and most people do not attempt to lie directly, instead they hedge omit crucial facts, feign forgetfulness and pretend ignorance. The reason for this is that liars are reluctant to commit themselves to their deceptions instead preferring to use conversational tricks to avoid damaging admissions.Some use tricks such as answering a question with a question, or glossing over critical points in the narrative. Another tricks is bridging gaps with uninformative statements such as we talked about what or afterward after what?</w:t>
      </w:r>
    </w:p>
    <w:p w:rsidR="00FF38D0" w:rsidRDefault="00FF38D0" w:rsidP="00FF38D0">
      <w:pPr>
        <w:rPr>
          <w:rFonts w:ascii="Arial Black" w:hAnsi="Arial Black"/>
          <w:sz w:val="24"/>
          <w:szCs w:val="24"/>
        </w:rPr>
      </w:pPr>
      <w:r>
        <w:rPr>
          <w:rFonts w:ascii="Arial Black" w:hAnsi="Arial Black"/>
          <w:sz w:val="24"/>
          <w:szCs w:val="24"/>
        </w:rPr>
        <w:t>Scan analysis will easily solve every case for you quickly and easily. You only need the subjects own words given of his/ her own free with everyone who wants to tell you everything even the people who commits crime as an interrogator you need to read this information clearly and scan is the tool that will give you the truth scan will show you:</w:t>
      </w:r>
    </w:p>
    <w:p w:rsidR="00FF38D0" w:rsidRDefault="00FF38D0" w:rsidP="00FF38D0">
      <w:pPr>
        <w:rPr>
          <w:rFonts w:ascii="Arial Black" w:hAnsi="Arial Black"/>
          <w:sz w:val="24"/>
          <w:szCs w:val="24"/>
        </w:rPr>
      </w:pPr>
      <w:r>
        <w:rPr>
          <w:rFonts w:ascii="Arial Black" w:hAnsi="Arial Black"/>
          <w:sz w:val="24"/>
          <w:szCs w:val="24"/>
        </w:rPr>
        <w:t>. Whether the subject is truthful or deceptive</w:t>
      </w:r>
    </w:p>
    <w:p w:rsidR="00FF38D0" w:rsidRDefault="00FF38D0" w:rsidP="00FF38D0">
      <w:pPr>
        <w:rPr>
          <w:rFonts w:ascii="Arial Black" w:hAnsi="Arial Black"/>
          <w:sz w:val="24"/>
          <w:szCs w:val="24"/>
        </w:rPr>
      </w:pPr>
      <w:r>
        <w:rPr>
          <w:rFonts w:ascii="Arial Black" w:hAnsi="Arial Black"/>
          <w:sz w:val="24"/>
          <w:szCs w:val="24"/>
        </w:rPr>
        <w:t xml:space="preserve">. What information the subject is concealing  </w:t>
      </w:r>
    </w:p>
    <w:p w:rsidR="00FF38D0" w:rsidRDefault="00FF38D0" w:rsidP="00FF38D0">
      <w:pPr>
        <w:rPr>
          <w:rFonts w:ascii="Arial Black" w:hAnsi="Arial Black"/>
          <w:sz w:val="24"/>
          <w:szCs w:val="24"/>
        </w:rPr>
      </w:pPr>
      <w:r>
        <w:rPr>
          <w:rFonts w:ascii="Arial Black" w:hAnsi="Arial Black"/>
          <w:sz w:val="24"/>
          <w:szCs w:val="24"/>
        </w:rPr>
        <w:t>. Whether or not the subject was involved in the crime.</w:t>
      </w:r>
    </w:p>
    <w:p w:rsidR="00FF38D0" w:rsidRDefault="00FF38D0" w:rsidP="00FF38D0">
      <w:pPr>
        <w:rPr>
          <w:rFonts w:ascii="Arial Black" w:hAnsi="Arial Black"/>
          <w:sz w:val="24"/>
          <w:szCs w:val="24"/>
        </w:rPr>
      </w:pPr>
      <w:r>
        <w:rPr>
          <w:rFonts w:ascii="Arial Black" w:hAnsi="Arial Black"/>
          <w:sz w:val="24"/>
          <w:szCs w:val="24"/>
        </w:rPr>
        <w:t>How do I use scan:</w:t>
      </w:r>
    </w:p>
    <w:p w:rsidR="00FF38D0" w:rsidRDefault="00FF38D0" w:rsidP="00FF38D0">
      <w:pPr>
        <w:rPr>
          <w:rFonts w:ascii="Arial Black" w:hAnsi="Arial Black"/>
          <w:sz w:val="24"/>
          <w:szCs w:val="24"/>
        </w:rPr>
      </w:pPr>
      <w:r>
        <w:rPr>
          <w:rFonts w:ascii="Arial Black" w:hAnsi="Arial Black"/>
          <w:sz w:val="24"/>
          <w:szCs w:val="24"/>
        </w:rPr>
        <w:t>. Give the subject a pen paper</w:t>
      </w:r>
    </w:p>
    <w:p w:rsidR="00FF38D0" w:rsidRDefault="00FF38D0" w:rsidP="00FF38D0">
      <w:pPr>
        <w:rPr>
          <w:rFonts w:ascii="Arial Black" w:hAnsi="Arial Black"/>
          <w:sz w:val="24"/>
          <w:szCs w:val="24"/>
        </w:rPr>
      </w:pPr>
      <w:r>
        <w:rPr>
          <w:rFonts w:ascii="Arial Black" w:hAnsi="Arial Black"/>
          <w:sz w:val="24"/>
          <w:szCs w:val="24"/>
        </w:rPr>
        <w:t>. As the subject to write down his/her version of what happened.</w:t>
      </w:r>
    </w:p>
    <w:p w:rsidR="00FF38D0" w:rsidRDefault="00FF38D0" w:rsidP="00FF38D0">
      <w:pPr>
        <w:rPr>
          <w:rFonts w:ascii="Arial Black" w:hAnsi="Arial Black"/>
          <w:sz w:val="24"/>
          <w:szCs w:val="24"/>
        </w:rPr>
      </w:pPr>
      <w:r>
        <w:rPr>
          <w:rFonts w:ascii="Arial Black" w:hAnsi="Arial Black"/>
          <w:sz w:val="24"/>
          <w:szCs w:val="24"/>
        </w:rPr>
        <w:lastRenderedPageBreak/>
        <w:t>Page 4                                        Student name: Chanda chilekwa</w:t>
      </w:r>
    </w:p>
    <w:p w:rsidR="00FF38D0" w:rsidRDefault="00FF38D0" w:rsidP="00FF38D0">
      <w:pPr>
        <w:rPr>
          <w:rFonts w:ascii="Arial Black" w:hAnsi="Arial Black"/>
          <w:sz w:val="24"/>
          <w:szCs w:val="24"/>
        </w:rPr>
      </w:pPr>
      <w:r>
        <w:rPr>
          <w:rFonts w:ascii="Arial Black" w:hAnsi="Arial Black"/>
          <w:sz w:val="24"/>
          <w:szCs w:val="24"/>
        </w:rPr>
        <w:t xml:space="preserve">                                                   Student ID No: 1669</w:t>
      </w:r>
    </w:p>
    <w:p w:rsidR="00FF38D0" w:rsidRDefault="00FF38D0" w:rsidP="00FF38D0">
      <w:pPr>
        <w:rPr>
          <w:rFonts w:ascii="Arial Black" w:hAnsi="Arial Black"/>
          <w:sz w:val="24"/>
          <w:szCs w:val="24"/>
        </w:rPr>
      </w:pPr>
      <w:r>
        <w:rPr>
          <w:rFonts w:ascii="Arial Black" w:hAnsi="Arial Black"/>
          <w:sz w:val="24"/>
          <w:szCs w:val="24"/>
        </w:rPr>
        <w:t xml:space="preserve">                                                   Assignment #: 7</w:t>
      </w:r>
    </w:p>
    <w:p w:rsidR="00FF38D0" w:rsidRDefault="00FF38D0" w:rsidP="00FF38D0">
      <w:pPr>
        <w:rPr>
          <w:rFonts w:ascii="Arial Black" w:hAnsi="Arial Black"/>
          <w:sz w:val="24"/>
          <w:szCs w:val="24"/>
        </w:rPr>
      </w:pPr>
      <w:r>
        <w:rPr>
          <w:rFonts w:ascii="Arial Black" w:hAnsi="Arial Black"/>
          <w:sz w:val="24"/>
          <w:szCs w:val="24"/>
        </w:rPr>
        <w:t>Q1 (</w:t>
      </w:r>
      <w:r w:rsidR="00780EB4">
        <w:rPr>
          <w:rFonts w:ascii="Arial Black" w:hAnsi="Arial Black"/>
          <w:sz w:val="24"/>
          <w:szCs w:val="24"/>
        </w:rPr>
        <w:t>vi</w:t>
      </w:r>
      <w:r>
        <w:rPr>
          <w:rFonts w:ascii="Arial Black" w:hAnsi="Arial Black"/>
          <w:sz w:val="24"/>
          <w:szCs w:val="24"/>
        </w:rPr>
        <w:t xml:space="preserve">) there are a number of ways to practice reading eye accessing cues, here are two: </w:t>
      </w:r>
    </w:p>
    <w:p w:rsidR="00FF38D0" w:rsidRDefault="00FF38D0" w:rsidP="00FF38D0">
      <w:pPr>
        <w:rPr>
          <w:rFonts w:ascii="Arial Black" w:hAnsi="Arial Black"/>
          <w:sz w:val="24"/>
          <w:szCs w:val="24"/>
        </w:rPr>
      </w:pPr>
      <w:r>
        <w:rPr>
          <w:rFonts w:ascii="Arial Black" w:hAnsi="Arial Black"/>
          <w:sz w:val="24"/>
          <w:szCs w:val="24"/>
        </w:rPr>
        <w:t>. Practice with your friends with their permission watch their eye accessing cues and then verify your observations with them.</w:t>
      </w:r>
    </w:p>
    <w:p w:rsidR="00FF38D0" w:rsidRDefault="00FF38D0" w:rsidP="00FF38D0">
      <w:pPr>
        <w:rPr>
          <w:rFonts w:ascii="Arial Black" w:hAnsi="Arial Black"/>
          <w:sz w:val="24"/>
          <w:szCs w:val="24"/>
        </w:rPr>
      </w:pPr>
      <w:r>
        <w:rPr>
          <w:rFonts w:ascii="Arial Black" w:hAnsi="Arial Black"/>
          <w:sz w:val="24"/>
          <w:szCs w:val="24"/>
        </w:rPr>
        <w:t>. Watch talk shows on TV make sure it is spontaneous and not rehearsed this is a great way to practice as you can stare at the people on TV and it will not bother them at all. Notice if there is a relationship between where the person looks and the predicates they use i.e. if the person’s eyes are looking up, do they tend to use more visual words.</w:t>
      </w:r>
      <w:r w:rsidR="00780EB4">
        <w:rPr>
          <w:rFonts w:ascii="Arial Black" w:hAnsi="Arial Black"/>
          <w:sz w:val="24"/>
          <w:szCs w:val="24"/>
        </w:rPr>
        <w:t xml:space="preserve"> </w:t>
      </w:r>
      <w:r>
        <w:rPr>
          <w:rFonts w:ascii="Arial Black" w:hAnsi="Arial Black"/>
          <w:sz w:val="24"/>
          <w:szCs w:val="24"/>
        </w:rPr>
        <w:t xml:space="preserve">Eyes language is a more reliable indicator of truthfulness according to most experts, the eyes are the most communicative part of the body. Visual accessing cues (VAC) refers to the language of the eyes and the principles related to it. Eye movement cues and interpretations are only applicable to right handed people. Therefore it is important to know whether the interviews is left handed or right handed in order to interpret the cues correctly and to avoiding interpreting truthful Reponses as deceitful. </w:t>
      </w:r>
    </w:p>
    <w:p w:rsidR="00FF38D0" w:rsidRDefault="00FF38D0" w:rsidP="00FF38D0">
      <w:pPr>
        <w:rPr>
          <w:rFonts w:ascii="Arial Black" w:hAnsi="Arial Black"/>
          <w:sz w:val="24"/>
          <w:szCs w:val="24"/>
        </w:rPr>
      </w:pPr>
      <w:r>
        <w:rPr>
          <w:rFonts w:ascii="Arial Black" w:hAnsi="Arial Black"/>
          <w:sz w:val="24"/>
          <w:szCs w:val="24"/>
        </w:rPr>
        <w:t>When interviewees are asked a question that requires them to recall something, their eyes movements betray whether the thought process is truthful or deceptive. According to experts such as rabon, the following combination may be helpful interpretation:</w:t>
      </w:r>
    </w:p>
    <w:p w:rsidR="00FF38D0" w:rsidRDefault="00FF38D0" w:rsidP="00FF38D0">
      <w:pPr>
        <w:rPr>
          <w:rFonts w:ascii="Arial Black" w:hAnsi="Arial Black"/>
          <w:sz w:val="24"/>
          <w:szCs w:val="24"/>
        </w:rPr>
      </w:pPr>
      <w:r>
        <w:rPr>
          <w:rFonts w:ascii="Arial Black" w:hAnsi="Arial Black"/>
          <w:sz w:val="24"/>
          <w:szCs w:val="24"/>
        </w:rPr>
        <w:t xml:space="preserve">. Eyes to the left and up recalling the past in visual images, </w:t>
      </w:r>
      <w:r w:rsidR="00780EB4">
        <w:rPr>
          <w:rFonts w:ascii="Arial Black" w:hAnsi="Arial Black"/>
          <w:sz w:val="24"/>
          <w:szCs w:val="24"/>
        </w:rPr>
        <w:t>e.g.</w:t>
      </w:r>
      <w:r>
        <w:rPr>
          <w:rFonts w:ascii="Arial Black" w:hAnsi="Arial Black"/>
          <w:sz w:val="24"/>
          <w:szCs w:val="24"/>
        </w:rPr>
        <w:t xml:space="preserve"> what colour was your first car </w:t>
      </w:r>
    </w:p>
    <w:p w:rsidR="00FF38D0" w:rsidRDefault="00FF38D0" w:rsidP="00FF38D0">
      <w:pPr>
        <w:rPr>
          <w:rFonts w:ascii="Arial Black" w:hAnsi="Arial Black"/>
          <w:sz w:val="24"/>
          <w:szCs w:val="24"/>
        </w:rPr>
      </w:pPr>
      <w:r>
        <w:rPr>
          <w:rFonts w:ascii="Arial Black" w:hAnsi="Arial Black"/>
          <w:sz w:val="24"/>
          <w:szCs w:val="24"/>
        </w:rPr>
        <w:t>. Eyes to the left toward the ear. Retrieving memories in auditory for or recalling sounds. For example, which ringtone did you use for your first cell phone?</w:t>
      </w:r>
    </w:p>
    <w:p w:rsidR="00FF38D0" w:rsidRDefault="00FF38D0" w:rsidP="00FF38D0">
      <w:pPr>
        <w:rPr>
          <w:rFonts w:ascii="Arial Black" w:hAnsi="Arial Black"/>
          <w:sz w:val="24"/>
          <w:szCs w:val="24"/>
        </w:rPr>
      </w:pPr>
    </w:p>
    <w:p w:rsidR="00FF38D0" w:rsidRDefault="00FF38D0" w:rsidP="00FF38D0">
      <w:pPr>
        <w:rPr>
          <w:rFonts w:ascii="Arial Black" w:hAnsi="Arial Black"/>
          <w:sz w:val="24"/>
          <w:szCs w:val="24"/>
        </w:rPr>
      </w:pPr>
      <w:r>
        <w:rPr>
          <w:rFonts w:ascii="Arial Black" w:hAnsi="Arial Black"/>
          <w:sz w:val="24"/>
          <w:szCs w:val="24"/>
        </w:rPr>
        <w:lastRenderedPageBreak/>
        <w:t>Page 5                                        Student name: Chanda chilekwa</w:t>
      </w:r>
    </w:p>
    <w:p w:rsidR="00FF38D0" w:rsidRDefault="00FF38D0" w:rsidP="00FF38D0">
      <w:pPr>
        <w:rPr>
          <w:rFonts w:ascii="Arial Black" w:hAnsi="Arial Black"/>
          <w:sz w:val="24"/>
          <w:szCs w:val="24"/>
        </w:rPr>
      </w:pPr>
      <w:r>
        <w:rPr>
          <w:rFonts w:ascii="Arial Black" w:hAnsi="Arial Black"/>
          <w:sz w:val="24"/>
          <w:szCs w:val="24"/>
        </w:rPr>
        <w:t xml:space="preserve">                                                   Student ID No: 1669</w:t>
      </w:r>
    </w:p>
    <w:p w:rsidR="00FF38D0" w:rsidRDefault="00FF38D0" w:rsidP="00FF38D0">
      <w:pPr>
        <w:rPr>
          <w:rFonts w:ascii="Arial Black" w:hAnsi="Arial Black"/>
          <w:sz w:val="24"/>
          <w:szCs w:val="24"/>
        </w:rPr>
      </w:pPr>
      <w:r>
        <w:rPr>
          <w:rFonts w:ascii="Arial Black" w:hAnsi="Arial Black"/>
          <w:sz w:val="24"/>
          <w:szCs w:val="24"/>
        </w:rPr>
        <w:t xml:space="preserve">                                                    Assignment#: 7</w:t>
      </w:r>
    </w:p>
    <w:p w:rsidR="00FF38D0" w:rsidRDefault="00FF38D0" w:rsidP="00FF38D0">
      <w:pPr>
        <w:rPr>
          <w:rFonts w:ascii="Arial Black" w:hAnsi="Arial Black"/>
          <w:sz w:val="24"/>
          <w:szCs w:val="24"/>
        </w:rPr>
      </w:pPr>
      <w:r>
        <w:rPr>
          <w:rFonts w:ascii="Arial Black" w:hAnsi="Arial Black"/>
          <w:sz w:val="24"/>
          <w:szCs w:val="24"/>
        </w:rPr>
        <w:t xml:space="preserve">Q1 (v) a person gestures and facial expressions are indicators of her/his emotions. Usually a person displaying these movements is unware of them. Indicators of a person’s emotions include body language such as speed of talking, pitch of voice, crossing the arms or legs, and other such gestures. </w:t>
      </w:r>
    </w:p>
    <w:p w:rsidR="00FF38D0" w:rsidRDefault="00FF38D0" w:rsidP="00FF38D0">
      <w:pPr>
        <w:rPr>
          <w:rFonts w:ascii="Arial Black" w:hAnsi="Arial Black"/>
          <w:sz w:val="24"/>
          <w:szCs w:val="24"/>
        </w:rPr>
      </w:pPr>
      <w:r>
        <w:rPr>
          <w:rFonts w:ascii="Arial Black" w:hAnsi="Arial Black"/>
          <w:sz w:val="24"/>
          <w:szCs w:val="24"/>
        </w:rPr>
        <w:t>Certain anxiety-or street related gesture or movements may hint at deception. Such cues includes stuttering, speech error, hesitation, increased vocal pitch, excessive blinking, pupil dilation, touching the hands or the face excessively, shrugging the shoulders, etc. however, such body language cues are not absolutes and cannot be taken as factual evidence of a person’s guilt.</w:t>
      </w:r>
    </w:p>
    <w:p w:rsidR="00FF38D0" w:rsidRDefault="00FF38D0" w:rsidP="00FF38D0">
      <w:pPr>
        <w:rPr>
          <w:rFonts w:ascii="Arial Black" w:hAnsi="Arial Black"/>
          <w:sz w:val="24"/>
          <w:szCs w:val="24"/>
        </w:rPr>
      </w:pPr>
      <w:r>
        <w:rPr>
          <w:rFonts w:ascii="Arial Black" w:hAnsi="Arial Black"/>
          <w:sz w:val="24"/>
          <w:szCs w:val="24"/>
        </w:rPr>
        <w:t>Studies related to body language suggest that, since the legs are further from the brain, they are harder to control than other extremities. The feet will point in the direction in which the person wants to go, ankles on knees suggest stubbornness, and tilting the head indicates friendliness. Body languages differs from person to person. Due to their sceptical natures, auditors and forensic accountants tend to read a suspect’s body languages as deception detecting tool, it is not admissible in court as evidence.</w:t>
      </w:r>
    </w:p>
    <w:p w:rsidR="00FF38D0" w:rsidRDefault="00FF38D0" w:rsidP="00FF38D0">
      <w:pPr>
        <w:rPr>
          <w:rFonts w:ascii="Arial Black" w:hAnsi="Arial Black"/>
          <w:sz w:val="24"/>
          <w:szCs w:val="24"/>
        </w:rPr>
      </w:pPr>
      <w:r>
        <w:rPr>
          <w:rFonts w:ascii="Arial Black" w:hAnsi="Arial Black"/>
          <w:sz w:val="24"/>
          <w:szCs w:val="24"/>
        </w:rPr>
        <w:t>Deception cues other cues, in addition to those listed under body language indicators, can also be used to identify deception. These includes the following:</w:t>
      </w:r>
    </w:p>
    <w:p w:rsidR="00FF38D0" w:rsidRDefault="00FF38D0" w:rsidP="00FF38D0">
      <w:pPr>
        <w:rPr>
          <w:rFonts w:ascii="Arial Black" w:hAnsi="Arial Black"/>
          <w:sz w:val="24"/>
          <w:szCs w:val="24"/>
        </w:rPr>
      </w:pPr>
      <w:r>
        <w:rPr>
          <w:rFonts w:ascii="Arial Black" w:hAnsi="Arial Black"/>
          <w:sz w:val="24"/>
          <w:szCs w:val="24"/>
        </w:rPr>
        <w:t xml:space="preserve">. Interpretation interactions. For example a person may shake his head and say yes’’ after making a point these are inconsistent </w:t>
      </w:r>
      <w:r w:rsidR="00967BA6">
        <w:rPr>
          <w:rFonts w:ascii="Arial Black" w:hAnsi="Arial Black"/>
          <w:sz w:val="24"/>
          <w:szCs w:val="24"/>
        </w:rPr>
        <w:t xml:space="preserve">gesture. </w:t>
      </w:r>
      <w:r>
        <w:rPr>
          <w:rFonts w:ascii="Arial Black" w:hAnsi="Arial Black"/>
          <w:sz w:val="24"/>
          <w:szCs w:val="24"/>
        </w:rPr>
        <w:t>Emotional states. A deceitful person will usually avoid touching the person investigating or questioning him/her</w:t>
      </w:r>
    </w:p>
    <w:p w:rsidR="00FF38D0" w:rsidRDefault="00FF38D0" w:rsidP="00FF38D0">
      <w:pPr>
        <w:rPr>
          <w:rFonts w:ascii="Arial Black" w:hAnsi="Arial Black"/>
          <w:sz w:val="24"/>
          <w:szCs w:val="24"/>
        </w:rPr>
      </w:pPr>
      <w:r>
        <w:rPr>
          <w:rFonts w:ascii="Arial Black" w:hAnsi="Arial Black"/>
          <w:sz w:val="24"/>
          <w:szCs w:val="24"/>
        </w:rPr>
        <w:t>. Verbal content. For example, reflecting the question in the answer immediately after the question has been asked.</w:t>
      </w:r>
    </w:p>
    <w:p w:rsidR="00FF38D0" w:rsidRDefault="00FF38D0" w:rsidP="00FF38D0">
      <w:pPr>
        <w:rPr>
          <w:rFonts w:ascii="Arial Black" w:hAnsi="Arial Black"/>
          <w:sz w:val="24"/>
          <w:szCs w:val="24"/>
        </w:rPr>
      </w:pPr>
      <w:r>
        <w:rPr>
          <w:rFonts w:ascii="Arial Black" w:hAnsi="Arial Black"/>
          <w:sz w:val="24"/>
          <w:szCs w:val="24"/>
        </w:rPr>
        <w:lastRenderedPageBreak/>
        <w:t xml:space="preserve">  Page 6                                   Student name: Chanda chilekwa </w:t>
      </w:r>
    </w:p>
    <w:p w:rsidR="00FF38D0" w:rsidRDefault="00FF38D0" w:rsidP="00FF38D0">
      <w:pPr>
        <w:rPr>
          <w:rFonts w:ascii="Arial Black" w:hAnsi="Arial Black"/>
          <w:sz w:val="24"/>
          <w:szCs w:val="24"/>
        </w:rPr>
      </w:pPr>
      <w:r>
        <w:rPr>
          <w:rFonts w:ascii="Arial Black" w:hAnsi="Arial Black"/>
          <w:sz w:val="24"/>
          <w:szCs w:val="24"/>
        </w:rPr>
        <w:t xml:space="preserve">                                              Student ID No: 1669</w:t>
      </w:r>
    </w:p>
    <w:p w:rsidR="00FF38D0" w:rsidRDefault="00FF38D0" w:rsidP="00FF38D0">
      <w:pPr>
        <w:rPr>
          <w:rFonts w:ascii="Arial Black" w:hAnsi="Arial Black"/>
          <w:sz w:val="24"/>
          <w:szCs w:val="24"/>
        </w:rPr>
      </w:pPr>
      <w:r>
        <w:rPr>
          <w:rFonts w:ascii="Arial Black" w:hAnsi="Arial Black"/>
          <w:sz w:val="24"/>
          <w:szCs w:val="24"/>
        </w:rPr>
        <w:t xml:space="preserve">                                              Assignment #: 7</w:t>
      </w:r>
    </w:p>
    <w:p w:rsidR="00FF38D0" w:rsidRDefault="00FF38D0" w:rsidP="00FF38D0">
      <w:pPr>
        <w:rPr>
          <w:rFonts w:ascii="Arial Black" w:hAnsi="Arial Black"/>
          <w:sz w:val="24"/>
          <w:szCs w:val="24"/>
        </w:rPr>
      </w:pPr>
      <w:r>
        <w:rPr>
          <w:rFonts w:ascii="Arial Black" w:hAnsi="Arial Black"/>
          <w:sz w:val="24"/>
          <w:szCs w:val="24"/>
        </w:rPr>
        <w:t>Q2 statement on auditing standards no 82 consideration of fraud in a financial statement audit, was issued in February. It provides expanded operational guidance on the auditor’s consideration of material fraud in conducting a financial statement audit.</w:t>
      </w:r>
    </w:p>
    <w:p w:rsidR="00FF38D0" w:rsidRDefault="00FF38D0" w:rsidP="00FF38D0">
      <w:pPr>
        <w:rPr>
          <w:rFonts w:ascii="Arial Black" w:hAnsi="Arial Black"/>
          <w:sz w:val="24"/>
          <w:szCs w:val="24"/>
        </w:rPr>
      </w:pPr>
      <w:r>
        <w:rPr>
          <w:rFonts w:ascii="Arial Black" w:hAnsi="Arial Black"/>
          <w:sz w:val="24"/>
          <w:szCs w:val="24"/>
        </w:rPr>
        <w:t>Effective for audits of financial statements for periods ending on or after December 15, 1997 SAS no 82 clarified but did not increase the auditor’s responsibility to detect fraud. That responsibility is still framed by the key concepts of materiality and reasonable assurance.</w:t>
      </w:r>
      <w:r w:rsidR="00780EB4">
        <w:rPr>
          <w:rFonts w:ascii="Arial Black" w:hAnsi="Arial Black"/>
          <w:sz w:val="24"/>
          <w:szCs w:val="24"/>
        </w:rPr>
        <w:t xml:space="preserve"> </w:t>
      </w:r>
      <w:r>
        <w:rPr>
          <w:rFonts w:ascii="Arial Black" w:hAnsi="Arial Black"/>
          <w:sz w:val="24"/>
          <w:szCs w:val="24"/>
        </w:rPr>
        <w:t>Auditors are required to specially assess the risk of material misstatement due to fraud in very audit the auditors assessment is a cumulative process that is ongoing through the audit. SAS no 82 describes two types of fraud that may result in financial statement misstatements: fraudulent financial reporting and misappropriation of assets.</w:t>
      </w:r>
    </w:p>
    <w:p w:rsidR="00FF38D0" w:rsidRDefault="00FF38D0" w:rsidP="00FF38D0">
      <w:pPr>
        <w:rPr>
          <w:rFonts w:ascii="Arial Black" w:hAnsi="Arial Black"/>
          <w:sz w:val="24"/>
          <w:szCs w:val="24"/>
        </w:rPr>
      </w:pPr>
      <w:r>
        <w:rPr>
          <w:rFonts w:ascii="Arial Black" w:hAnsi="Arial Black"/>
          <w:sz w:val="24"/>
          <w:szCs w:val="24"/>
        </w:rPr>
        <w:t xml:space="preserve">Fraudulent financial reporting an example of fraudulent financial reporting is a company that ships customer’s goods that have not been ordered and then records the revenue as if it met all the criterial for revenue recognition. In other cases involving new high technology products, company personnel may have provided customers with a side agreement granting right of return for any reason or made payment for the goods contingent on receipt of funding or some other event. In such cases the side agreement typically is not disclosed to the auditor because the underlying transaction would not meet the criteria for revenue recognition under generally accepted accounting principles. </w:t>
      </w:r>
    </w:p>
    <w:p w:rsidR="00FF38D0" w:rsidRDefault="00FF38D0" w:rsidP="00FF38D0">
      <w:pPr>
        <w:rPr>
          <w:rFonts w:ascii="Arial Black" w:hAnsi="Arial Black"/>
          <w:sz w:val="24"/>
          <w:szCs w:val="24"/>
        </w:rPr>
      </w:pPr>
      <w:r>
        <w:rPr>
          <w:rFonts w:ascii="Arial Black" w:hAnsi="Arial Black"/>
          <w:sz w:val="24"/>
          <w:szCs w:val="24"/>
        </w:rPr>
        <w:t>Fraud is separate engagement from a financial statement audit conducted in accordance with GAAS. In a fraud audit there typically is an allegation of fraud or a fraud has already been discovered the accountant is called in to gather evidence.</w:t>
      </w:r>
    </w:p>
    <w:p w:rsidR="00FF38D0" w:rsidRDefault="00FF38D0" w:rsidP="00FF38D0">
      <w:pPr>
        <w:rPr>
          <w:rFonts w:ascii="Arial Black" w:hAnsi="Arial Black"/>
          <w:sz w:val="24"/>
          <w:szCs w:val="24"/>
        </w:rPr>
      </w:pPr>
      <w:r>
        <w:rPr>
          <w:rFonts w:ascii="Arial Black" w:hAnsi="Arial Black"/>
          <w:sz w:val="24"/>
          <w:szCs w:val="24"/>
        </w:rPr>
        <w:lastRenderedPageBreak/>
        <w:t>Page 7                                        Student name: Chanda chilekwa</w:t>
      </w:r>
    </w:p>
    <w:p w:rsidR="00FF38D0" w:rsidRDefault="00FF38D0" w:rsidP="00FF38D0">
      <w:pPr>
        <w:rPr>
          <w:rFonts w:ascii="Arial Black" w:hAnsi="Arial Black"/>
          <w:sz w:val="24"/>
          <w:szCs w:val="24"/>
        </w:rPr>
      </w:pPr>
      <w:r>
        <w:rPr>
          <w:rFonts w:ascii="Arial Black" w:hAnsi="Arial Black"/>
          <w:sz w:val="24"/>
          <w:szCs w:val="24"/>
        </w:rPr>
        <w:t xml:space="preserve">                                                   Student ID No: 1669</w:t>
      </w:r>
    </w:p>
    <w:p w:rsidR="00FF38D0" w:rsidRDefault="00FF38D0" w:rsidP="00FF38D0">
      <w:pPr>
        <w:rPr>
          <w:rFonts w:ascii="Arial Black" w:hAnsi="Arial Black"/>
          <w:sz w:val="24"/>
          <w:szCs w:val="24"/>
        </w:rPr>
      </w:pPr>
      <w:r>
        <w:rPr>
          <w:rFonts w:ascii="Arial Black" w:hAnsi="Arial Black"/>
          <w:sz w:val="24"/>
          <w:szCs w:val="24"/>
        </w:rPr>
        <w:t xml:space="preserve">                                                   Assignment #: 7</w:t>
      </w:r>
    </w:p>
    <w:p w:rsidR="00FF38D0" w:rsidRDefault="00FF38D0" w:rsidP="00FF38D0">
      <w:pPr>
        <w:rPr>
          <w:rFonts w:ascii="Arial Black" w:hAnsi="Arial Black"/>
          <w:sz w:val="24"/>
          <w:szCs w:val="24"/>
        </w:rPr>
      </w:pPr>
      <w:r>
        <w:rPr>
          <w:rFonts w:ascii="Arial Black" w:hAnsi="Arial Black"/>
          <w:sz w:val="24"/>
          <w:szCs w:val="24"/>
        </w:rPr>
        <w:t xml:space="preserve">Q3 during the course of practically every case,  </w:t>
      </w:r>
    </w:p>
    <w:p w:rsidR="00FF38D0" w:rsidRDefault="00FF38D0" w:rsidP="00FF38D0">
      <w:pPr>
        <w:rPr>
          <w:rFonts w:ascii="Arial Black" w:hAnsi="Arial Black"/>
          <w:sz w:val="24"/>
          <w:szCs w:val="24"/>
        </w:rPr>
      </w:pPr>
      <w:r>
        <w:rPr>
          <w:rFonts w:ascii="Arial Black" w:hAnsi="Arial Black"/>
          <w:sz w:val="24"/>
          <w:szCs w:val="24"/>
        </w:rPr>
        <w:t xml:space="preserve">It will become necessary for the investigator to sit down and interview a living, breathing person. Whether that person is </w:t>
      </w:r>
      <w:r w:rsidR="008C06AB">
        <w:rPr>
          <w:rFonts w:ascii="Arial Black" w:hAnsi="Arial Black"/>
          <w:sz w:val="24"/>
          <w:szCs w:val="24"/>
        </w:rPr>
        <w:t>an</w:t>
      </w:r>
      <w:r>
        <w:rPr>
          <w:rFonts w:ascii="Arial Black" w:hAnsi="Arial Black"/>
          <w:sz w:val="24"/>
          <w:szCs w:val="24"/>
        </w:rPr>
        <w:t xml:space="preserve"> eyewitness, a records custodian, or ideally, the suspect himself, you will embark on the task of attempting to elicit information using an interrogatory method of method of some type. Methods of questioning vary in complexity depending on the subject and purpose of the interrogation from simple question and answer to a veritable game of psychological survivor.</w:t>
      </w:r>
    </w:p>
    <w:p w:rsidR="00FF38D0" w:rsidRDefault="00FF38D0" w:rsidP="00FF38D0">
      <w:pPr>
        <w:rPr>
          <w:rFonts w:ascii="Arial Black" w:hAnsi="Arial Black"/>
          <w:sz w:val="24"/>
          <w:szCs w:val="24"/>
        </w:rPr>
      </w:pPr>
      <w:r>
        <w:rPr>
          <w:rFonts w:ascii="Arial Black" w:hAnsi="Arial Black"/>
          <w:sz w:val="24"/>
          <w:szCs w:val="24"/>
        </w:rPr>
        <w:t xml:space="preserve">In this chapter, we hope to provide a framework that the financial crime investigator can use to successfully build an effective interview process. Like all good models, it must be adapted to differing scenarios. However, it can help the investigators navigate the often choppy waters of interpersonal communication that is unique to this setting. In addition, we will offer some valuable tips for approaching interviews with the financial sophisticated witnesses you are likely to encounter in financial crime investigation. </w:t>
      </w:r>
    </w:p>
    <w:p w:rsidR="00FF38D0" w:rsidRDefault="00FF38D0" w:rsidP="00FF38D0">
      <w:pPr>
        <w:rPr>
          <w:rFonts w:ascii="Arial Black" w:hAnsi="Arial Black"/>
          <w:sz w:val="24"/>
          <w:szCs w:val="24"/>
        </w:rPr>
      </w:pPr>
      <w:r>
        <w:rPr>
          <w:rFonts w:ascii="Arial Black" w:hAnsi="Arial Black"/>
          <w:sz w:val="24"/>
          <w:szCs w:val="24"/>
        </w:rPr>
        <w:t>There is a growing need among law enforcement professional, small business owners and department managers to better understand basic forensic accounting principles, how different types of fraud occur, and how to investigative a fraud that is detected in a way that minimizes the chances of succefull prosecution of the perpetrator.</w:t>
      </w:r>
    </w:p>
    <w:p w:rsidR="00FF38D0" w:rsidRDefault="00FF38D0" w:rsidP="00FF38D0">
      <w:pPr>
        <w:rPr>
          <w:rFonts w:ascii="Arial Black" w:hAnsi="Arial Black"/>
          <w:sz w:val="24"/>
          <w:szCs w:val="24"/>
        </w:rPr>
      </w:pPr>
      <w:r>
        <w:rPr>
          <w:rFonts w:ascii="Arial Black" w:hAnsi="Arial Black"/>
          <w:sz w:val="24"/>
          <w:szCs w:val="24"/>
        </w:rPr>
        <w:t xml:space="preserve">Covering the basic accounting principles as they apply to forensic accounting and the most common types of fraud, this is up to date volume thoroughly examines the investigative process, with discussion on documentary evidence, the role of the experts witness, and interviews techniques. </w:t>
      </w:r>
    </w:p>
    <w:p w:rsidR="00F2450B" w:rsidRPr="00780EB4" w:rsidRDefault="00CB7B6A" w:rsidP="00816DDE">
      <w:pPr>
        <w:rPr>
          <w:rFonts w:ascii="Arial Black" w:hAnsi="Arial Black"/>
          <w:sz w:val="24"/>
          <w:szCs w:val="24"/>
        </w:rPr>
      </w:pPr>
      <w:r>
        <w:rPr>
          <w:rFonts w:cs="CalvertMT-Bold"/>
          <w:b/>
          <w:bCs/>
          <w:color w:val="002060"/>
          <w:sz w:val="28"/>
          <w:lang w:val="en-US"/>
        </w:rPr>
        <w:lastRenderedPageBreak/>
        <w:t xml:space="preserve"> </w:t>
      </w:r>
      <w:r w:rsidR="00F2450B" w:rsidRPr="007B0F50">
        <w:rPr>
          <w:rFonts w:ascii="Arial Black" w:hAnsi="Arial Black"/>
          <w:sz w:val="32"/>
          <w:szCs w:val="24"/>
        </w:rPr>
        <w:t>REFFERENCES</w:t>
      </w:r>
    </w:p>
    <w:p w:rsidR="00F2450B" w:rsidRPr="007B0F50" w:rsidRDefault="000A5666" w:rsidP="007B0F50">
      <w:pPr>
        <w:pStyle w:val="ListParagraph"/>
        <w:numPr>
          <w:ilvl w:val="0"/>
          <w:numId w:val="20"/>
        </w:numPr>
        <w:rPr>
          <w:rFonts w:ascii="Arial Black" w:hAnsi="Arial Black"/>
          <w:i/>
          <w:sz w:val="32"/>
          <w:szCs w:val="24"/>
        </w:rPr>
      </w:pPr>
      <w:r>
        <w:rPr>
          <w:rFonts w:ascii="Arial Black" w:hAnsi="Arial Black"/>
          <w:i/>
          <w:sz w:val="32"/>
          <w:szCs w:val="24"/>
        </w:rPr>
        <w:t>Silverstone</w:t>
      </w:r>
      <w:r w:rsidR="00742AB7">
        <w:rPr>
          <w:rFonts w:ascii="Arial Black" w:hAnsi="Arial Black"/>
          <w:i/>
          <w:sz w:val="32"/>
          <w:szCs w:val="24"/>
        </w:rPr>
        <w:t>c</w:t>
      </w:r>
      <w:r w:rsidR="00967BA6">
        <w:rPr>
          <w:rFonts w:ascii="Arial Black" w:hAnsi="Arial Black"/>
          <w:i/>
          <w:sz w:val="32"/>
          <w:szCs w:val="24"/>
        </w:rPr>
        <w:t xml:space="preserve"> H, </w:t>
      </w:r>
      <w:r>
        <w:rPr>
          <w:rFonts w:ascii="Arial Black" w:hAnsi="Arial Black"/>
          <w:i/>
          <w:sz w:val="32"/>
          <w:szCs w:val="24"/>
        </w:rPr>
        <w:t>Sheetz</w:t>
      </w:r>
      <w:r w:rsidR="00967BA6">
        <w:rPr>
          <w:rFonts w:ascii="Arial Black" w:hAnsi="Arial Black"/>
          <w:i/>
          <w:sz w:val="32"/>
          <w:szCs w:val="24"/>
        </w:rPr>
        <w:t>, m (2006) forensic accountant and fraud investigation for non experts, 2</w:t>
      </w:r>
      <w:r w:rsidR="00967BA6" w:rsidRPr="00967BA6">
        <w:rPr>
          <w:rFonts w:ascii="Arial Black" w:hAnsi="Arial Black"/>
          <w:i/>
          <w:sz w:val="32"/>
          <w:szCs w:val="24"/>
          <w:vertAlign w:val="superscript"/>
        </w:rPr>
        <w:t>nd</w:t>
      </w:r>
      <w:r w:rsidR="00967BA6">
        <w:rPr>
          <w:rFonts w:ascii="Arial Black" w:hAnsi="Arial Black"/>
          <w:i/>
          <w:sz w:val="32"/>
          <w:szCs w:val="24"/>
        </w:rPr>
        <w:t xml:space="preserve"> ed  </w:t>
      </w:r>
    </w:p>
    <w:p w:rsidR="006246C9" w:rsidRPr="007B0F50" w:rsidRDefault="00304C19" w:rsidP="007B0F50">
      <w:pPr>
        <w:pStyle w:val="ListParagraph"/>
        <w:numPr>
          <w:ilvl w:val="0"/>
          <w:numId w:val="20"/>
        </w:numPr>
        <w:rPr>
          <w:rFonts w:ascii="Arial Black" w:hAnsi="Arial Black"/>
          <w:i/>
          <w:sz w:val="32"/>
          <w:szCs w:val="24"/>
        </w:rPr>
      </w:pPr>
      <w:hyperlink r:id="rId9" w:history="1">
        <w:r w:rsidR="009E2CD0" w:rsidRPr="009963FA">
          <w:rPr>
            <w:rStyle w:val="Hyperlink"/>
            <w:rFonts w:ascii="Arial Black" w:hAnsi="Arial Black"/>
            <w:i/>
            <w:sz w:val="32"/>
            <w:szCs w:val="24"/>
          </w:rPr>
          <w:t>http://www.pwc.com/us/en/financial</w:t>
        </w:r>
      </w:hyperlink>
      <w:r w:rsidR="009E2CD0">
        <w:rPr>
          <w:rFonts w:ascii="Arial Black" w:hAnsi="Arial Black"/>
          <w:i/>
          <w:sz w:val="32"/>
          <w:szCs w:val="24"/>
        </w:rPr>
        <w:t xml:space="preserve"> services/regulatory/services</w:t>
      </w:r>
    </w:p>
    <w:p w:rsidR="006246C9" w:rsidRPr="007B0F50" w:rsidRDefault="00304C19" w:rsidP="007B0F50">
      <w:pPr>
        <w:pStyle w:val="ListParagraph"/>
        <w:numPr>
          <w:ilvl w:val="0"/>
          <w:numId w:val="20"/>
        </w:numPr>
        <w:rPr>
          <w:rFonts w:ascii="Arial Black" w:hAnsi="Arial Black"/>
          <w:i/>
          <w:sz w:val="32"/>
          <w:szCs w:val="24"/>
        </w:rPr>
      </w:pPr>
      <w:hyperlink r:id="rId10" w:history="1">
        <w:r w:rsidR="00DE6F76" w:rsidRPr="009963FA">
          <w:rPr>
            <w:rStyle w:val="Hyperlink"/>
            <w:rFonts w:ascii="Arial Black" w:hAnsi="Arial Black"/>
            <w:i/>
            <w:sz w:val="32"/>
            <w:szCs w:val="24"/>
          </w:rPr>
          <w:t>www.start.umd.edu</w:t>
        </w:r>
      </w:hyperlink>
      <w:r w:rsidR="00DE6F76">
        <w:rPr>
          <w:rFonts w:ascii="Arial Black" w:hAnsi="Arial Black"/>
          <w:i/>
          <w:sz w:val="32"/>
          <w:szCs w:val="24"/>
        </w:rPr>
        <w:t xml:space="preserve">. </w:t>
      </w:r>
    </w:p>
    <w:p w:rsidR="00F2450B" w:rsidRPr="007B0F50" w:rsidRDefault="009A1A36" w:rsidP="007B0F50">
      <w:pPr>
        <w:pStyle w:val="ListParagraph"/>
        <w:numPr>
          <w:ilvl w:val="0"/>
          <w:numId w:val="20"/>
        </w:numPr>
        <w:rPr>
          <w:rFonts w:ascii="Arial Black" w:hAnsi="Arial Black"/>
          <w:i/>
          <w:sz w:val="32"/>
          <w:szCs w:val="24"/>
        </w:rPr>
      </w:pPr>
      <w:r>
        <w:rPr>
          <w:rFonts w:ascii="Arial Black" w:hAnsi="Arial Black"/>
          <w:i/>
          <w:sz w:val="32"/>
          <w:szCs w:val="24"/>
        </w:rPr>
        <w:t xml:space="preserve">Golden, t, w, skalak, s, clayton, m. (2006) forensic accounting investigation </w:t>
      </w:r>
    </w:p>
    <w:p w:rsidR="003038CA" w:rsidRPr="007B0F50" w:rsidRDefault="00742AB7" w:rsidP="007B0F50">
      <w:pPr>
        <w:pStyle w:val="ListParagraph"/>
        <w:numPr>
          <w:ilvl w:val="0"/>
          <w:numId w:val="20"/>
        </w:numPr>
        <w:rPr>
          <w:rFonts w:ascii="Arial Black" w:hAnsi="Arial Black"/>
          <w:i/>
          <w:sz w:val="24"/>
          <w:szCs w:val="24"/>
        </w:rPr>
      </w:pPr>
      <w:r>
        <w:rPr>
          <w:rFonts w:ascii="Arial Black" w:hAnsi="Arial Black"/>
          <w:i/>
          <w:sz w:val="32"/>
          <w:szCs w:val="24"/>
        </w:rPr>
        <w:t>Manning</w:t>
      </w:r>
      <w:r w:rsidR="000A5666">
        <w:rPr>
          <w:rFonts w:ascii="Arial Black" w:hAnsi="Arial Black"/>
          <w:i/>
          <w:sz w:val="32"/>
          <w:szCs w:val="24"/>
        </w:rPr>
        <w:t xml:space="preserve"> G.A.(2005) financial investigation and forensic accounting  2</w:t>
      </w:r>
      <w:r w:rsidR="000A5666" w:rsidRPr="000A5666">
        <w:rPr>
          <w:rFonts w:ascii="Arial Black" w:hAnsi="Arial Black"/>
          <w:i/>
          <w:sz w:val="32"/>
          <w:szCs w:val="24"/>
          <w:vertAlign w:val="superscript"/>
        </w:rPr>
        <w:t>nd</w:t>
      </w:r>
      <w:r w:rsidR="000A5666">
        <w:rPr>
          <w:rFonts w:ascii="Arial Black" w:hAnsi="Arial Black"/>
          <w:i/>
          <w:sz w:val="32"/>
          <w:szCs w:val="24"/>
        </w:rPr>
        <w:t xml:space="preserve">, ed </w:t>
      </w:r>
    </w:p>
    <w:p w:rsidR="003038CA" w:rsidRPr="006246C9" w:rsidRDefault="003038CA" w:rsidP="006246C9">
      <w:pPr>
        <w:rPr>
          <w:rFonts w:ascii="Arial Black" w:hAnsi="Arial Black"/>
          <w:i/>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0D6CC7" w:rsidP="00A851DA">
            <w:pPr>
              <w:rPr>
                <w:rFonts w:ascii="Arial Black" w:hAnsi="Arial Black" w:cs="Bliss-Regular"/>
                <w:color w:val="000000"/>
              </w:rPr>
            </w:pPr>
            <w:r>
              <w:rPr>
                <w:rFonts w:ascii="Arial Black" w:hAnsi="Arial Black" w:cs="Bliss-Regular"/>
                <w:color w:val="000000"/>
              </w:rPr>
              <w:t>24</w:t>
            </w:r>
            <w:bookmarkStart w:id="0" w:name="_GoBack"/>
            <w:bookmarkEnd w:id="0"/>
            <w:r w:rsidR="00B32F92">
              <w:rPr>
                <w:rFonts w:ascii="Arial Black" w:hAnsi="Arial Black" w:cs="Bliss-Regular"/>
                <w:color w:val="000000"/>
              </w:rPr>
              <w:t>/03</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C19" w:rsidRDefault="00304C19" w:rsidP="00CB4D0A">
      <w:pPr>
        <w:spacing w:after="0" w:line="240" w:lineRule="auto"/>
      </w:pPr>
      <w:r>
        <w:separator/>
      </w:r>
    </w:p>
  </w:endnote>
  <w:endnote w:type="continuationSeparator" w:id="0">
    <w:p w:rsidR="00304C19" w:rsidRDefault="00304C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C19" w:rsidRDefault="00304C19" w:rsidP="00CB4D0A">
      <w:pPr>
        <w:spacing w:after="0" w:line="240" w:lineRule="auto"/>
      </w:pPr>
      <w:r>
        <w:separator/>
      </w:r>
    </w:p>
  </w:footnote>
  <w:footnote w:type="continuationSeparator" w:id="0">
    <w:p w:rsidR="00304C19" w:rsidRDefault="00304C1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6F90"/>
    <w:multiLevelType w:val="hybridMultilevel"/>
    <w:tmpl w:val="A9247928"/>
    <w:lvl w:ilvl="0" w:tplc="03CAD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E7555"/>
    <w:multiLevelType w:val="hybridMultilevel"/>
    <w:tmpl w:val="A3A44CFE"/>
    <w:lvl w:ilvl="0" w:tplc="A1F26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5B79A6"/>
    <w:multiLevelType w:val="hybridMultilevel"/>
    <w:tmpl w:val="C9C04A2C"/>
    <w:lvl w:ilvl="0" w:tplc="DC7C0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A86381"/>
    <w:multiLevelType w:val="hybridMultilevel"/>
    <w:tmpl w:val="77A6A984"/>
    <w:lvl w:ilvl="0" w:tplc="FAA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87D19"/>
    <w:multiLevelType w:val="hybridMultilevel"/>
    <w:tmpl w:val="59520A5C"/>
    <w:lvl w:ilvl="0" w:tplc="4F3E6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05C56"/>
    <w:multiLevelType w:val="hybridMultilevel"/>
    <w:tmpl w:val="4EA22680"/>
    <w:lvl w:ilvl="0" w:tplc="41E2ED6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F294F"/>
    <w:multiLevelType w:val="hybridMultilevel"/>
    <w:tmpl w:val="5592201E"/>
    <w:lvl w:ilvl="0" w:tplc="A9664E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591F38"/>
    <w:multiLevelType w:val="hybridMultilevel"/>
    <w:tmpl w:val="3F96F2C0"/>
    <w:lvl w:ilvl="0" w:tplc="05ACF0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56702"/>
    <w:multiLevelType w:val="hybridMultilevel"/>
    <w:tmpl w:val="19C86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6"/>
  </w:num>
  <w:num w:numId="3">
    <w:abstractNumId w:val="9"/>
  </w:num>
  <w:num w:numId="4">
    <w:abstractNumId w:val="17"/>
  </w:num>
  <w:num w:numId="5">
    <w:abstractNumId w:val="10"/>
  </w:num>
  <w:num w:numId="6">
    <w:abstractNumId w:val="27"/>
  </w:num>
  <w:num w:numId="7">
    <w:abstractNumId w:val="18"/>
  </w:num>
  <w:num w:numId="8">
    <w:abstractNumId w:val="20"/>
  </w:num>
  <w:num w:numId="9">
    <w:abstractNumId w:val="14"/>
  </w:num>
  <w:num w:numId="10">
    <w:abstractNumId w:val="3"/>
  </w:num>
  <w:num w:numId="11">
    <w:abstractNumId w:val="4"/>
  </w:num>
  <w:num w:numId="12">
    <w:abstractNumId w:val="22"/>
  </w:num>
  <w:num w:numId="13">
    <w:abstractNumId w:val="7"/>
  </w:num>
  <w:num w:numId="14">
    <w:abstractNumId w:val="24"/>
  </w:num>
  <w:num w:numId="15">
    <w:abstractNumId w:val="6"/>
  </w:num>
  <w:num w:numId="16">
    <w:abstractNumId w:val="2"/>
  </w:num>
  <w:num w:numId="17">
    <w:abstractNumId w:val="19"/>
  </w:num>
  <w:num w:numId="18">
    <w:abstractNumId w:val="1"/>
  </w:num>
  <w:num w:numId="19">
    <w:abstractNumId w:val="8"/>
  </w:num>
  <w:num w:numId="20">
    <w:abstractNumId w:val="25"/>
  </w:num>
  <w:num w:numId="21">
    <w:abstractNumId w:val="0"/>
  </w:num>
  <w:num w:numId="22">
    <w:abstractNumId w:val="23"/>
  </w:num>
  <w:num w:numId="23">
    <w:abstractNumId w:val="5"/>
  </w:num>
  <w:num w:numId="24">
    <w:abstractNumId w:val="15"/>
  </w:num>
  <w:num w:numId="25">
    <w:abstractNumId w:val="13"/>
  </w:num>
  <w:num w:numId="26">
    <w:abstractNumId w:val="21"/>
  </w:num>
  <w:num w:numId="27">
    <w:abstractNumId w:val="1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35CDD"/>
    <w:rsid w:val="00040083"/>
    <w:rsid w:val="0004328F"/>
    <w:rsid w:val="00055992"/>
    <w:rsid w:val="000820E8"/>
    <w:rsid w:val="000A5666"/>
    <w:rsid w:val="000C16F6"/>
    <w:rsid w:val="000C79F5"/>
    <w:rsid w:val="000D6CC7"/>
    <w:rsid w:val="001175EE"/>
    <w:rsid w:val="001232CD"/>
    <w:rsid w:val="00157CF6"/>
    <w:rsid w:val="00182416"/>
    <w:rsid w:val="00187EB4"/>
    <w:rsid w:val="001A04BC"/>
    <w:rsid w:val="001F0481"/>
    <w:rsid w:val="00200C92"/>
    <w:rsid w:val="0020451E"/>
    <w:rsid w:val="00206B9D"/>
    <w:rsid w:val="0023259C"/>
    <w:rsid w:val="00262424"/>
    <w:rsid w:val="00273340"/>
    <w:rsid w:val="002B0BD7"/>
    <w:rsid w:val="002B573D"/>
    <w:rsid w:val="002C5CB2"/>
    <w:rsid w:val="002F779F"/>
    <w:rsid w:val="003038CA"/>
    <w:rsid w:val="00304C19"/>
    <w:rsid w:val="00313907"/>
    <w:rsid w:val="00324566"/>
    <w:rsid w:val="00362EB1"/>
    <w:rsid w:val="00363635"/>
    <w:rsid w:val="00371885"/>
    <w:rsid w:val="003A563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96482"/>
    <w:rsid w:val="005A1E40"/>
    <w:rsid w:val="005B31E4"/>
    <w:rsid w:val="006033E2"/>
    <w:rsid w:val="006034F6"/>
    <w:rsid w:val="00607874"/>
    <w:rsid w:val="00607E77"/>
    <w:rsid w:val="006137BC"/>
    <w:rsid w:val="00617BB3"/>
    <w:rsid w:val="006246C9"/>
    <w:rsid w:val="00645CDD"/>
    <w:rsid w:val="006673F2"/>
    <w:rsid w:val="006823A7"/>
    <w:rsid w:val="00687EE8"/>
    <w:rsid w:val="006A4119"/>
    <w:rsid w:val="006F26BC"/>
    <w:rsid w:val="0070347F"/>
    <w:rsid w:val="0070678E"/>
    <w:rsid w:val="00742AB7"/>
    <w:rsid w:val="00774B4A"/>
    <w:rsid w:val="00780EB4"/>
    <w:rsid w:val="007B0F50"/>
    <w:rsid w:val="007F48CE"/>
    <w:rsid w:val="00816DDE"/>
    <w:rsid w:val="00824789"/>
    <w:rsid w:val="00831C11"/>
    <w:rsid w:val="008827F4"/>
    <w:rsid w:val="008969A8"/>
    <w:rsid w:val="008A60B4"/>
    <w:rsid w:val="008B3C31"/>
    <w:rsid w:val="008B64FE"/>
    <w:rsid w:val="008C06AB"/>
    <w:rsid w:val="009139F0"/>
    <w:rsid w:val="00935BF7"/>
    <w:rsid w:val="0095442C"/>
    <w:rsid w:val="00967BA6"/>
    <w:rsid w:val="00983942"/>
    <w:rsid w:val="009A1A36"/>
    <w:rsid w:val="009C37E0"/>
    <w:rsid w:val="009E2CD0"/>
    <w:rsid w:val="009E41F4"/>
    <w:rsid w:val="00A14B66"/>
    <w:rsid w:val="00A43F66"/>
    <w:rsid w:val="00A65CF7"/>
    <w:rsid w:val="00A81AB4"/>
    <w:rsid w:val="00A851DA"/>
    <w:rsid w:val="00A86C81"/>
    <w:rsid w:val="00A97D3E"/>
    <w:rsid w:val="00AC7D5B"/>
    <w:rsid w:val="00AE1481"/>
    <w:rsid w:val="00AF73B1"/>
    <w:rsid w:val="00B0415E"/>
    <w:rsid w:val="00B04678"/>
    <w:rsid w:val="00B2392E"/>
    <w:rsid w:val="00B32F92"/>
    <w:rsid w:val="00B368E0"/>
    <w:rsid w:val="00B50498"/>
    <w:rsid w:val="00BC46DF"/>
    <w:rsid w:val="00C03577"/>
    <w:rsid w:val="00C53029"/>
    <w:rsid w:val="00C65FEA"/>
    <w:rsid w:val="00CA0AC2"/>
    <w:rsid w:val="00CB4D0A"/>
    <w:rsid w:val="00CB7B6A"/>
    <w:rsid w:val="00CC2FB3"/>
    <w:rsid w:val="00CC575A"/>
    <w:rsid w:val="00CC6E9C"/>
    <w:rsid w:val="00CF123B"/>
    <w:rsid w:val="00D039AC"/>
    <w:rsid w:val="00D2545F"/>
    <w:rsid w:val="00D427DE"/>
    <w:rsid w:val="00D5587D"/>
    <w:rsid w:val="00D707CC"/>
    <w:rsid w:val="00D821FE"/>
    <w:rsid w:val="00D95611"/>
    <w:rsid w:val="00DB0793"/>
    <w:rsid w:val="00DC2718"/>
    <w:rsid w:val="00DE6F76"/>
    <w:rsid w:val="00DF7A0B"/>
    <w:rsid w:val="00E00821"/>
    <w:rsid w:val="00E04DB4"/>
    <w:rsid w:val="00E30679"/>
    <w:rsid w:val="00E4597D"/>
    <w:rsid w:val="00E54832"/>
    <w:rsid w:val="00E56A90"/>
    <w:rsid w:val="00E641CC"/>
    <w:rsid w:val="00E73BAB"/>
    <w:rsid w:val="00EA30AB"/>
    <w:rsid w:val="00EB3925"/>
    <w:rsid w:val="00ED5FEA"/>
    <w:rsid w:val="00EF5CF6"/>
    <w:rsid w:val="00F0741A"/>
    <w:rsid w:val="00F2450B"/>
    <w:rsid w:val="00F96EB3"/>
    <w:rsid w:val="00FA02DE"/>
    <w:rsid w:val="00FA1805"/>
    <w:rsid w:val="00FE0F1B"/>
    <w:rsid w:val="00FE45E2"/>
    <w:rsid w:val="00FF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tart.umd.edu" TargetMode="External"/><Relationship Id="rId4" Type="http://schemas.openxmlformats.org/officeDocument/2006/relationships/settings" Target="settings.xml"/><Relationship Id="rId9" Type="http://schemas.openxmlformats.org/officeDocument/2006/relationships/hyperlink" Target="http://www.pwc.com/us/en/fina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27F8A-735A-464D-A1DB-C7B1B9417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10</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40</cp:revision>
  <dcterms:created xsi:type="dcterms:W3CDTF">2016-02-15T13:08:00Z</dcterms:created>
  <dcterms:modified xsi:type="dcterms:W3CDTF">2016-03-23T15:03:00Z</dcterms:modified>
</cp:coreProperties>
</file>