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5292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279">
            <w:pPr>
              <w:pStyle w:val="Default"/>
              <w:rPr>
                <w:rFonts w:asciiTheme="minorHAnsi" w:hAnsiTheme="minorHAnsi"/>
              </w:rPr>
            </w:pPr>
            <w:r>
              <w:rPr>
                <w:rFonts w:asciiTheme="minorHAnsi" w:hAnsiTheme="minorHAnsi"/>
              </w:rPr>
              <w:t>UMUNNAKWE EBENEZER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7279">
            <w:pPr>
              <w:pStyle w:val="Default"/>
              <w:rPr>
                <w:rFonts w:asciiTheme="minorHAnsi" w:hAnsiTheme="minorHAnsi"/>
              </w:rPr>
            </w:pPr>
            <w:r>
              <w:rPr>
                <w:rFonts w:asciiTheme="minorHAnsi" w:hAnsiTheme="minorHAnsi"/>
              </w:rPr>
              <w:t>1429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279">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3A49">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23A49" w:rsidRDefault="00823A49" w:rsidP="00A851DA">
            <w:pPr>
              <w:rPr>
                <w:rFonts w:ascii="Arial" w:hAnsi="Arial" w:cs="Arial"/>
                <w:sz w:val="24"/>
                <w:szCs w:val="24"/>
              </w:rPr>
            </w:pPr>
          </w:p>
          <w:p w:rsidR="00823A49" w:rsidRDefault="00823A49" w:rsidP="00823A49">
            <w:pPr>
              <w:pStyle w:val="NoSpacing"/>
              <w:numPr>
                <w:ilvl w:val="0"/>
                <w:numId w:val="20"/>
              </w:numPr>
              <w:spacing w:line="360" w:lineRule="auto"/>
              <w:jc w:val="both"/>
              <w:rPr>
                <w:rFonts w:ascii="Arial" w:hAnsi="Arial" w:cs="Arial"/>
                <w:sz w:val="24"/>
                <w:szCs w:val="24"/>
              </w:rPr>
            </w:pPr>
            <w:r>
              <w:rPr>
                <w:rFonts w:ascii="Arial" w:hAnsi="Arial" w:cs="Arial"/>
                <w:sz w:val="24"/>
                <w:szCs w:val="24"/>
              </w:rPr>
              <w:t>Give brief answers for the following:</w:t>
            </w:r>
          </w:p>
          <w:p w:rsidR="00823A49" w:rsidRDefault="00823A49" w:rsidP="00823A49">
            <w:pPr>
              <w:pStyle w:val="NoSpacing"/>
              <w:numPr>
                <w:ilvl w:val="0"/>
                <w:numId w:val="21"/>
              </w:numPr>
              <w:spacing w:line="360" w:lineRule="auto"/>
              <w:jc w:val="both"/>
              <w:rPr>
                <w:rFonts w:ascii="Arial" w:hAnsi="Arial" w:cs="Arial"/>
                <w:sz w:val="24"/>
                <w:szCs w:val="24"/>
              </w:rPr>
            </w:pPr>
            <w:r>
              <w:rPr>
                <w:rFonts w:ascii="Arial" w:hAnsi="Arial" w:cs="Arial"/>
                <w:sz w:val="24"/>
                <w:szCs w:val="24"/>
              </w:rPr>
              <w:t>What is meant by the term ‘best evidence’?</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rPr>
              <w:t>This does not refer to the most appropriate evidence to support a claim; it simply means that all evidence submitted must be original.</w:t>
            </w:r>
          </w:p>
          <w:p w:rsidR="00823A49" w:rsidRDefault="00823A49" w:rsidP="00823A49">
            <w:pPr>
              <w:pStyle w:val="NoSpacing"/>
              <w:numPr>
                <w:ilvl w:val="0"/>
                <w:numId w:val="21"/>
              </w:numPr>
              <w:spacing w:line="360" w:lineRule="auto"/>
              <w:jc w:val="both"/>
              <w:rPr>
                <w:rFonts w:ascii="Arial" w:hAnsi="Arial" w:cs="Arial"/>
                <w:sz w:val="24"/>
                <w:szCs w:val="24"/>
              </w:rPr>
            </w:pPr>
            <w:r>
              <w:rPr>
                <w:rFonts w:ascii="Arial" w:hAnsi="Arial" w:cs="Arial"/>
                <w:sz w:val="24"/>
                <w:szCs w:val="24"/>
              </w:rPr>
              <w:t>Why is it important to keep the collected evidence in well organized manner?</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rPr>
              <w:t xml:space="preserve">It is very important to keep the collected evidence in well organized manner so to ensure that there </w:t>
            </w:r>
            <w:proofErr w:type="gramStart"/>
            <w:r>
              <w:rPr>
                <w:rFonts w:ascii="Arial" w:hAnsi="Arial" w:cs="Arial"/>
                <w:sz w:val="24"/>
                <w:szCs w:val="24"/>
              </w:rPr>
              <w:t>is</w:t>
            </w:r>
            <w:proofErr w:type="gramEnd"/>
            <w:r>
              <w:rPr>
                <w:rFonts w:ascii="Arial" w:hAnsi="Arial" w:cs="Arial"/>
                <w:sz w:val="24"/>
                <w:szCs w:val="24"/>
              </w:rPr>
              <w:t xml:space="preserve"> no alterations and no form of damage of the evidence.</w:t>
            </w:r>
          </w:p>
          <w:p w:rsidR="00823A49" w:rsidRDefault="00823A49" w:rsidP="00823A49">
            <w:pPr>
              <w:pStyle w:val="NoSpacing"/>
              <w:numPr>
                <w:ilvl w:val="0"/>
                <w:numId w:val="21"/>
              </w:numPr>
              <w:spacing w:line="360" w:lineRule="auto"/>
              <w:jc w:val="both"/>
              <w:rPr>
                <w:rFonts w:ascii="Arial" w:hAnsi="Arial" w:cs="Arial"/>
                <w:sz w:val="24"/>
                <w:szCs w:val="24"/>
              </w:rPr>
            </w:pPr>
            <w:r>
              <w:rPr>
                <w:rFonts w:ascii="Arial" w:hAnsi="Arial" w:cs="Arial"/>
                <w:sz w:val="24"/>
                <w:szCs w:val="24"/>
              </w:rPr>
              <w:t>List the devices which could help when collecting evidence.</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Personal computer</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Network services</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Security systems</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Storage media</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Digital cameras</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Printers</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Wireless and cordless telephone</w:t>
            </w:r>
          </w:p>
          <w:p w:rsidR="00823A49" w:rsidRDefault="00823A49" w:rsidP="00823A49">
            <w:pPr>
              <w:pStyle w:val="NoSpacing"/>
              <w:numPr>
                <w:ilvl w:val="0"/>
                <w:numId w:val="21"/>
              </w:numPr>
              <w:spacing w:line="360" w:lineRule="auto"/>
              <w:jc w:val="both"/>
              <w:rPr>
                <w:rFonts w:ascii="Arial" w:hAnsi="Arial" w:cs="Arial"/>
                <w:sz w:val="24"/>
                <w:szCs w:val="24"/>
              </w:rPr>
            </w:pPr>
            <w:r>
              <w:rPr>
                <w:rFonts w:ascii="Arial" w:hAnsi="Arial" w:cs="Arial"/>
                <w:sz w:val="24"/>
                <w:szCs w:val="24"/>
              </w:rPr>
              <w:lastRenderedPageBreak/>
              <w:t>Which points should be considered when planning for the evidence gathering process?</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rPr>
              <w:t>Points to be noted are:</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Client’s policies on record retention and level of compliance</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Visit storage locations for paper records off and on site</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Ensure the existence and storage of employee files</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Personal computers of employees at home or in office should also be checked.</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Analyze organizational hierarchy so as to know who reports to whom, etc.</w:t>
            </w:r>
          </w:p>
          <w:p w:rsidR="00823A49" w:rsidRDefault="00823A49" w:rsidP="00823A49">
            <w:pPr>
              <w:pStyle w:val="NoSpacing"/>
              <w:numPr>
                <w:ilvl w:val="0"/>
                <w:numId w:val="21"/>
              </w:numPr>
              <w:spacing w:line="360" w:lineRule="auto"/>
              <w:jc w:val="both"/>
              <w:rPr>
                <w:rFonts w:ascii="Arial" w:hAnsi="Arial" w:cs="Arial"/>
                <w:sz w:val="24"/>
                <w:szCs w:val="24"/>
              </w:rPr>
            </w:pPr>
            <w:r>
              <w:rPr>
                <w:rFonts w:ascii="Arial" w:hAnsi="Arial" w:cs="Arial"/>
                <w:sz w:val="24"/>
                <w:szCs w:val="24"/>
              </w:rPr>
              <w:t>What are the “working papers”? Which type of information do they contain?</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rPr>
              <w:t>Working papers are materials and documents which are included in the working papers of a forensic accountant and it usually differs from investigation to another. Some information contained in the working papers are:</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Documentation specifying chain of custody</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Court pleadings and deposition transcripts</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Photographs or digital photos, preferably with a date/time stamp</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Interview notes and audio recordings</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Electronic computer files</w:t>
            </w:r>
          </w:p>
          <w:p w:rsidR="00823A49" w:rsidRDefault="00823A49" w:rsidP="00823A49">
            <w:pPr>
              <w:pStyle w:val="NoSpacing"/>
              <w:numPr>
                <w:ilvl w:val="0"/>
                <w:numId w:val="21"/>
              </w:numPr>
              <w:spacing w:line="360" w:lineRule="auto"/>
              <w:jc w:val="both"/>
              <w:rPr>
                <w:rFonts w:ascii="Arial" w:hAnsi="Arial" w:cs="Arial"/>
                <w:sz w:val="24"/>
                <w:szCs w:val="24"/>
              </w:rPr>
            </w:pPr>
            <w:r>
              <w:rPr>
                <w:rFonts w:ascii="Arial" w:hAnsi="Arial" w:cs="Arial"/>
                <w:sz w:val="24"/>
                <w:szCs w:val="24"/>
              </w:rPr>
              <w:t>Outline the main steps involved in the evidence gathering process.</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rPr>
              <w:t>They are:</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Document Retention Consideration</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Planning Consideration</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Creating a chain of custody</w:t>
            </w:r>
          </w:p>
          <w:p w:rsidR="00823A49" w:rsidRDefault="00823A49" w:rsidP="00823A49">
            <w:pPr>
              <w:pStyle w:val="NoSpacing"/>
              <w:spacing w:line="360" w:lineRule="auto"/>
              <w:ind w:left="1080"/>
              <w:jc w:val="both"/>
              <w:rPr>
                <w:rFonts w:ascii="Arial" w:hAnsi="Arial" w:cs="Arial"/>
                <w:sz w:val="24"/>
                <w:szCs w:val="24"/>
              </w:rPr>
            </w:pPr>
            <w:r w:rsidRPr="003C2F87">
              <w:rPr>
                <w:rFonts w:ascii="Arial" w:hAnsi="Arial" w:cs="Arial"/>
                <w:sz w:val="24"/>
                <w:szCs w:val="24"/>
                <w:u w:val="single"/>
              </w:rPr>
              <w:t>Document Retention Consideration</w:t>
            </w:r>
            <w:r>
              <w:rPr>
                <w:rFonts w:ascii="Arial" w:hAnsi="Arial" w:cs="Arial"/>
                <w:sz w:val="24"/>
                <w:szCs w:val="24"/>
              </w:rPr>
              <w:t>: Considering Forensic Accountant’s investigation heavily relies on documentary proof, documents retention and preservations are tasks of utmost importance.</w:t>
            </w:r>
          </w:p>
          <w:p w:rsidR="00823A49" w:rsidRDefault="00823A49" w:rsidP="00823A49">
            <w:pPr>
              <w:pStyle w:val="NoSpacing"/>
              <w:spacing w:line="360" w:lineRule="auto"/>
              <w:ind w:left="1080"/>
              <w:jc w:val="both"/>
              <w:rPr>
                <w:rFonts w:ascii="Arial" w:hAnsi="Arial" w:cs="Arial"/>
                <w:sz w:val="24"/>
                <w:szCs w:val="24"/>
              </w:rPr>
            </w:pPr>
            <w:r w:rsidRPr="003C2F87">
              <w:rPr>
                <w:rFonts w:ascii="Arial" w:hAnsi="Arial" w:cs="Arial"/>
                <w:sz w:val="24"/>
                <w:szCs w:val="24"/>
                <w:u w:val="single"/>
              </w:rPr>
              <w:t>Planning the Consideration</w:t>
            </w:r>
            <w:r>
              <w:rPr>
                <w:rFonts w:ascii="Arial" w:hAnsi="Arial" w:cs="Arial"/>
                <w:sz w:val="24"/>
                <w:szCs w:val="24"/>
              </w:rPr>
              <w:t>: It is usually important to meet up with clients, depending on the nature of investigation, in order to discuss the type of evidence that may be required and to locate the evidence relating to the time under scrutiny.</w:t>
            </w:r>
          </w:p>
          <w:p w:rsidR="00823A49" w:rsidRPr="003C2F87" w:rsidRDefault="00823A49" w:rsidP="00823A49">
            <w:pPr>
              <w:pStyle w:val="NoSpacing"/>
              <w:spacing w:line="360" w:lineRule="auto"/>
              <w:ind w:left="1080"/>
              <w:jc w:val="both"/>
              <w:rPr>
                <w:rFonts w:ascii="Arial" w:hAnsi="Arial" w:cs="Arial"/>
                <w:sz w:val="24"/>
                <w:szCs w:val="24"/>
              </w:rPr>
            </w:pPr>
            <w:r>
              <w:rPr>
                <w:rFonts w:ascii="Arial" w:hAnsi="Arial" w:cs="Arial"/>
                <w:sz w:val="24"/>
                <w:szCs w:val="24"/>
                <w:u w:val="single"/>
              </w:rPr>
              <w:lastRenderedPageBreak/>
              <w:t>Creating a chain of custody:</w:t>
            </w:r>
            <w:r>
              <w:rPr>
                <w:rFonts w:ascii="Arial" w:hAnsi="Arial" w:cs="Arial"/>
                <w:sz w:val="24"/>
                <w:szCs w:val="24"/>
              </w:rPr>
              <w:t xml:space="preserve"> The chain of custody serves as proof that the evidence has been properly preserved from alteration and damage from the time when it was collected to its presentation.</w:t>
            </w:r>
          </w:p>
          <w:p w:rsidR="00823A49" w:rsidRDefault="00823A49" w:rsidP="00823A49">
            <w:pPr>
              <w:pStyle w:val="NoSpacing"/>
              <w:numPr>
                <w:ilvl w:val="0"/>
                <w:numId w:val="21"/>
              </w:numPr>
              <w:spacing w:line="360" w:lineRule="auto"/>
              <w:jc w:val="both"/>
              <w:rPr>
                <w:rFonts w:ascii="Arial" w:hAnsi="Arial" w:cs="Arial"/>
                <w:sz w:val="24"/>
                <w:szCs w:val="24"/>
              </w:rPr>
            </w:pPr>
            <w:r>
              <w:rPr>
                <w:rFonts w:ascii="Arial" w:hAnsi="Arial" w:cs="Arial"/>
                <w:sz w:val="24"/>
                <w:szCs w:val="24"/>
              </w:rPr>
              <w:t>Which types of documents are collected in evidence gathering process and what would be the possible sources for these?</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rPr>
              <w:t>Types of documents are:</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Signed statements</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Transactions paper works</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Intranet sources</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 xml:space="preserve">Emails </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u w:val="single"/>
              </w:rPr>
              <w:t>Signed Statements</w:t>
            </w:r>
            <w:r>
              <w:rPr>
                <w:rFonts w:ascii="Arial" w:hAnsi="Arial" w:cs="Arial"/>
                <w:sz w:val="24"/>
                <w:szCs w:val="24"/>
              </w:rPr>
              <w:t>: It is always useful to obtain written and signed statements from witnesses as well as the complaints.</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u w:val="single"/>
              </w:rPr>
              <w:t>Transactional paper works</w:t>
            </w:r>
            <w:r>
              <w:rPr>
                <w:rFonts w:ascii="Arial" w:hAnsi="Arial" w:cs="Arial"/>
                <w:sz w:val="24"/>
                <w:szCs w:val="24"/>
              </w:rPr>
              <w:t>: Another document the investigator must look for is any document or paper trials led by transactions e.g. Invoices, vouchers, etc</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u w:val="single"/>
              </w:rPr>
              <w:t>Intranet Sources</w:t>
            </w:r>
            <w:r w:rsidRPr="00363101">
              <w:rPr>
                <w:rFonts w:ascii="Arial" w:hAnsi="Arial" w:cs="Arial"/>
                <w:sz w:val="24"/>
                <w:szCs w:val="24"/>
              </w:rPr>
              <w:t>:</w:t>
            </w:r>
            <w:r>
              <w:rPr>
                <w:rFonts w:ascii="Arial" w:hAnsi="Arial" w:cs="Arial"/>
                <w:sz w:val="24"/>
                <w:szCs w:val="24"/>
              </w:rPr>
              <w:t xml:space="preserve"> The facilities and web logs of the company can also be where to collect evidence by the investigator.</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u w:val="single"/>
              </w:rPr>
              <w:t>Emails</w:t>
            </w:r>
            <w:r w:rsidRPr="00C42FF4">
              <w:rPr>
                <w:rFonts w:ascii="Arial" w:hAnsi="Arial" w:cs="Arial"/>
                <w:sz w:val="24"/>
                <w:szCs w:val="24"/>
              </w:rPr>
              <w:t>:</w:t>
            </w:r>
            <w:r>
              <w:rPr>
                <w:rFonts w:ascii="Arial" w:hAnsi="Arial" w:cs="Arial"/>
                <w:sz w:val="24"/>
                <w:szCs w:val="24"/>
              </w:rPr>
              <w:t xml:space="preserve"> They are a very common mode of communication in a business organization and the investigator might benefit from this when looking for evidence.</w:t>
            </w:r>
          </w:p>
          <w:p w:rsidR="00823A49" w:rsidRDefault="00823A49" w:rsidP="00823A49">
            <w:pPr>
              <w:pStyle w:val="NoSpacing"/>
              <w:ind w:left="1080"/>
              <w:jc w:val="both"/>
              <w:rPr>
                <w:rFonts w:ascii="Arial" w:hAnsi="Arial" w:cs="Arial"/>
                <w:sz w:val="24"/>
                <w:szCs w:val="24"/>
              </w:rPr>
            </w:pP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rPr>
              <w:t>The sources of the documents collected in evidence gathering are:</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Documents from the victim</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Documents from third parties</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Documents from the suspects.</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u w:val="single"/>
              </w:rPr>
              <w:t>Documents from the victim</w:t>
            </w:r>
            <w:r>
              <w:rPr>
                <w:rFonts w:ascii="Arial" w:hAnsi="Arial" w:cs="Arial"/>
                <w:sz w:val="24"/>
                <w:szCs w:val="24"/>
              </w:rPr>
              <w:t>: It is one of the sources of the document. This is usually collected from the victim or complaint and is collected immediately so as to prevent lost or damage of the document.</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u w:val="single"/>
              </w:rPr>
              <w:t>Documents from third parties</w:t>
            </w:r>
            <w:r w:rsidRPr="006F51D0">
              <w:rPr>
                <w:rFonts w:ascii="Arial" w:hAnsi="Arial" w:cs="Arial"/>
                <w:sz w:val="24"/>
                <w:szCs w:val="24"/>
              </w:rPr>
              <w:t>:</w:t>
            </w:r>
            <w:r>
              <w:rPr>
                <w:rFonts w:ascii="Arial" w:hAnsi="Arial" w:cs="Arial"/>
                <w:sz w:val="24"/>
                <w:szCs w:val="24"/>
              </w:rPr>
              <w:t xml:space="preserve"> It is very likely that third party such as banks, big organizations and government will possess crucial piece of information that link the suspect to criminal activities. Some of the suspect contacts are:</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Financial sectors, e.g. bank</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Interactions with professionals, e.g. accountants</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lastRenderedPageBreak/>
              <w:t>Interactions within the industry e.g. networking groups</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Government</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Personal contacts.</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u w:val="single"/>
              </w:rPr>
              <w:t>Documents from the suspect</w:t>
            </w:r>
            <w:r>
              <w:rPr>
                <w:rFonts w:ascii="Arial" w:hAnsi="Arial" w:cs="Arial"/>
                <w:sz w:val="24"/>
                <w:szCs w:val="24"/>
              </w:rPr>
              <w:t>: Investigators usually target the suspects last when they are gathering evidence. Investigators typically exhaust all their options before approaching the suspect. Investigators are advised to familiarize themselves with the suspect’s personal and business habits as the lack of such knowledge may cause them to make faulty judgments, miss important evidence, discard valuable evidence as irrelevant, etc.</w:t>
            </w:r>
          </w:p>
          <w:p w:rsidR="00823A49" w:rsidRPr="00373169" w:rsidRDefault="00823A49" w:rsidP="00823A49">
            <w:pPr>
              <w:pStyle w:val="NoSpacing"/>
              <w:ind w:left="1080"/>
              <w:jc w:val="both"/>
              <w:rPr>
                <w:rFonts w:ascii="Arial" w:hAnsi="Arial" w:cs="Arial"/>
                <w:sz w:val="24"/>
                <w:szCs w:val="24"/>
              </w:rPr>
            </w:pPr>
          </w:p>
          <w:p w:rsidR="00823A49" w:rsidRDefault="00823A49" w:rsidP="00823A49">
            <w:pPr>
              <w:pStyle w:val="NoSpacing"/>
              <w:numPr>
                <w:ilvl w:val="0"/>
                <w:numId w:val="20"/>
              </w:numPr>
              <w:spacing w:line="360" w:lineRule="auto"/>
              <w:jc w:val="both"/>
              <w:rPr>
                <w:rFonts w:ascii="Arial" w:hAnsi="Arial" w:cs="Arial"/>
                <w:sz w:val="24"/>
                <w:szCs w:val="24"/>
              </w:rPr>
            </w:pPr>
            <w:r>
              <w:rPr>
                <w:rFonts w:ascii="Arial" w:hAnsi="Arial" w:cs="Arial"/>
                <w:sz w:val="24"/>
                <w:szCs w:val="24"/>
              </w:rPr>
              <w:t>Evidence is required to support any investigation of financial crime. Discuss various types of evidence used in financial crime investigation.</w:t>
            </w:r>
          </w:p>
          <w:p w:rsidR="00823A49" w:rsidRDefault="00823A49" w:rsidP="00823A49">
            <w:pPr>
              <w:pStyle w:val="NoSpacing"/>
              <w:spacing w:line="360" w:lineRule="auto"/>
              <w:ind w:left="360"/>
              <w:jc w:val="both"/>
              <w:rPr>
                <w:rFonts w:ascii="Arial" w:hAnsi="Arial" w:cs="Arial"/>
                <w:sz w:val="24"/>
                <w:szCs w:val="24"/>
              </w:rPr>
            </w:pPr>
            <w:r>
              <w:rPr>
                <w:rFonts w:ascii="Arial" w:hAnsi="Arial" w:cs="Arial"/>
                <w:sz w:val="24"/>
                <w:szCs w:val="24"/>
              </w:rPr>
              <w:t>They are:</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Direct</w:t>
            </w:r>
          </w:p>
          <w:p w:rsidR="00823A49" w:rsidRDefault="00823A49" w:rsidP="00823A49">
            <w:pPr>
              <w:pStyle w:val="NoSpacing"/>
              <w:numPr>
                <w:ilvl w:val="0"/>
                <w:numId w:val="22"/>
              </w:numPr>
              <w:spacing w:line="360" w:lineRule="auto"/>
              <w:jc w:val="both"/>
              <w:rPr>
                <w:rFonts w:ascii="Arial" w:hAnsi="Arial" w:cs="Arial"/>
                <w:sz w:val="24"/>
                <w:szCs w:val="24"/>
              </w:rPr>
            </w:pPr>
            <w:r>
              <w:rPr>
                <w:rFonts w:ascii="Arial" w:hAnsi="Arial" w:cs="Arial"/>
                <w:sz w:val="24"/>
                <w:szCs w:val="24"/>
              </w:rPr>
              <w:t>Circumstantial</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u w:val="single"/>
              </w:rPr>
              <w:t>Direct Evidence</w:t>
            </w:r>
            <w:r>
              <w:rPr>
                <w:rFonts w:ascii="Arial" w:hAnsi="Arial" w:cs="Arial"/>
                <w:sz w:val="24"/>
                <w:szCs w:val="24"/>
              </w:rPr>
              <w:t>: is evidence that proves a fact without any inference or presumptions. This may take the form of confessions obtained in a court of law or during the course of investigation.</w:t>
            </w:r>
          </w:p>
          <w:p w:rsidR="00823A49" w:rsidRDefault="00823A49" w:rsidP="00823A49">
            <w:pPr>
              <w:pStyle w:val="NoSpacing"/>
              <w:spacing w:line="360" w:lineRule="auto"/>
              <w:ind w:left="1080"/>
              <w:jc w:val="both"/>
              <w:rPr>
                <w:rFonts w:ascii="Arial" w:hAnsi="Arial" w:cs="Arial"/>
                <w:sz w:val="24"/>
                <w:szCs w:val="24"/>
              </w:rPr>
            </w:pPr>
            <w:r>
              <w:rPr>
                <w:rFonts w:ascii="Arial" w:hAnsi="Arial" w:cs="Arial"/>
                <w:sz w:val="24"/>
                <w:szCs w:val="24"/>
                <w:u w:val="single"/>
              </w:rPr>
              <w:t>Circumstantial Evidence</w:t>
            </w:r>
            <w:r w:rsidRPr="006F7FBE">
              <w:rPr>
                <w:rFonts w:ascii="Arial" w:hAnsi="Arial" w:cs="Arial"/>
                <w:sz w:val="24"/>
                <w:szCs w:val="24"/>
              </w:rPr>
              <w:t>:</w:t>
            </w:r>
            <w:r>
              <w:rPr>
                <w:rFonts w:ascii="Arial" w:hAnsi="Arial" w:cs="Arial"/>
                <w:sz w:val="24"/>
                <w:szCs w:val="24"/>
              </w:rPr>
              <w:t xml:space="preserve"> is evidence that proves a fact through inference or presumptions. This is admissible in a court of law. Proving the suspect’s willful intent can be categorized as circumstantial evidence. It could be used for crimes like malice, motive, intent, etc or to prove something that exists in the mind of the perpetrators.</w:t>
            </w:r>
          </w:p>
          <w:p w:rsidR="00823A49" w:rsidRPr="006F7FBE" w:rsidRDefault="00823A49" w:rsidP="00823A49">
            <w:pPr>
              <w:pStyle w:val="NoSpacing"/>
              <w:ind w:left="1080"/>
              <w:jc w:val="both"/>
              <w:rPr>
                <w:rFonts w:ascii="Arial" w:hAnsi="Arial" w:cs="Arial"/>
                <w:sz w:val="24"/>
                <w:szCs w:val="24"/>
              </w:rPr>
            </w:pPr>
          </w:p>
          <w:p w:rsidR="00823A49" w:rsidRDefault="00823A49" w:rsidP="00823A49">
            <w:pPr>
              <w:pStyle w:val="NoSpacing"/>
              <w:numPr>
                <w:ilvl w:val="0"/>
                <w:numId w:val="20"/>
              </w:numPr>
              <w:spacing w:line="360" w:lineRule="auto"/>
              <w:jc w:val="both"/>
              <w:rPr>
                <w:rFonts w:ascii="Arial" w:hAnsi="Arial" w:cs="Arial"/>
                <w:sz w:val="24"/>
                <w:szCs w:val="24"/>
              </w:rPr>
            </w:pPr>
            <w:r>
              <w:rPr>
                <w:rFonts w:ascii="Arial" w:hAnsi="Arial" w:cs="Arial"/>
                <w:sz w:val="24"/>
                <w:szCs w:val="24"/>
              </w:rPr>
              <w:t>Evidence gathered in financial crime cases is different from the one gathered in non-financial crime cases. What is the basic difference in the composition of the two types of evidences?</w:t>
            </w:r>
          </w:p>
          <w:p w:rsidR="00F343D0" w:rsidRPr="00F343D0" w:rsidRDefault="00823A49" w:rsidP="00823A49">
            <w:pPr>
              <w:pStyle w:val="NoSpacing"/>
              <w:spacing w:line="360" w:lineRule="auto"/>
              <w:ind w:left="360"/>
              <w:jc w:val="both"/>
              <w:rPr>
                <w:rFonts w:ascii="Arial" w:hAnsi="Arial" w:cs="Arial"/>
                <w:sz w:val="24"/>
                <w:szCs w:val="24"/>
              </w:rPr>
            </w:pPr>
            <w:r>
              <w:rPr>
                <w:rFonts w:ascii="Arial" w:hAnsi="Arial" w:cs="Arial"/>
                <w:sz w:val="24"/>
                <w:szCs w:val="24"/>
              </w:rPr>
              <w:t>The basic difference in the composition of the two types of evidence is that; in non-financial evidence, evidence could be gotten from the direct type of evidence which could include confession, real or physical evidence, e.g. of physical evidence is weapon, pistol, etc. It is usually gotten in court; while in financial evidence, evidence could be gotten from the circumstantial evidence which means analyzing, presumption or inferences in relation to one another in order to prove the ultimate fact. It is usually admissible in a court of law.</w:t>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7279" w:rsidP="00A851DA">
            <w:pPr>
              <w:rPr>
                <w:rFonts w:cs="Bliss-Regular"/>
                <w:color w:val="000000"/>
              </w:rPr>
            </w:pPr>
            <w:r>
              <w:rPr>
                <w:rFonts w:cs="Bliss-Regular"/>
                <w:color w:val="000000"/>
              </w:rPr>
              <w:t>UMUNNAKWE EBENEZER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6508" w:rsidP="00823A49">
            <w:pPr>
              <w:rPr>
                <w:rFonts w:cs="Bliss-Regular"/>
                <w:color w:val="000000"/>
              </w:rPr>
            </w:pPr>
            <w:r>
              <w:rPr>
                <w:rFonts w:cs="Bliss-Regular"/>
                <w:color w:val="000000"/>
              </w:rPr>
              <w:t>0</w:t>
            </w:r>
            <w:r w:rsidR="00823A49">
              <w:rPr>
                <w:rFonts w:cs="Bliss-Regular"/>
                <w:color w:val="000000"/>
              </w:rPr>
              <w:t>8</w:t>
            </w:r>
            <w:r>
              <w:rPr>
                <w:rFonts w:cs="Bliss-Regular"/>
                <w:color w:val="000000"/>
              </w:rPr>
              <w:t>-06</w:t>
            </w:r>
            <w:r w:rsidR="00CA7279">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19D5" w:rsidRDefault="002519D5" w:rsidP="00CB4D0A">
      <w:pPr>
        <w:spacing w:after="0" w:line="240" w:lineRule="auto"/>
      </w:pPr>
      <w:r>
        <w:separator/>
      </w:r>
    </w:p>
  </w:endnote>
  <w:endnote w:type="continuationSeparator" w:id="0">
    <w:p w:rsidR="002519D5" w:rsidRDefault="002519D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19D5" w:rsidRDefault="002519D5" w:rsidP="00CB4D0A">
      <w:pPr>
        <w:spacing w:after="0" w:line="240" w:lineRule="auto"/>
      </w:pPr>
      <w:r>
        <w:separator/>
      </w:r>
    </w:p>
  </w:footnote>
  <w:footnote w:type="continuationSeparator" w:id="0">
    <w:p w:rsidR="002519D5" w:rsidRDefault="002519D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06235"/>
    <w:multiLevelType w:val="hybridMultilevel"/>
    <w:tmpl w:val="895ACCD0"/>
    <w:lvl w:ilvl="0" w:tplc="93D4A1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CB0ED0"/>
    <w:multiLevelType w:val="hybridMultilevel"/>
    <w:tmpl w:val="A1420C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8170B17"/>
    <w:multiLevelType w:val="hybridMultilevel"/>
    <w:tmpl w:val="68FE3B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B3E770C"/>
    <w:multiLevelType w:val="hybridMultilevel"/>
    <w:tmpl w:val="4518063E"/>
    <w:lvl w:ilvl="0" w:tplc="6C1E3AAC">
      <w:start w:val="1"/>
      <w:numFmt w:val="bullet"/>
      <w:lvlText w:val=""/>
      <w:lvlJc w:val="left"/>
      <w:pPr>
        <w:ind w:left="1170" w:hanging="360"/>
      </w:pPr>
      <w:rPr>
        <w:rFonts w:ascii="Symbol" w:eastAsiaTheme="minorHAnsi" w:hAnsi="Symbol" w:cs="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nsid w:val="0E6E3158"/>
    <w:multiLevelType w:val="hybridMultilevel"/>
    <w:tmpl w:val="74A08E12"/>
    <w:lvl w:ilvl="0" w:tplc="0BA053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C53C36"/>
    <w:multiLevelType w:val="hybridMultilevel"/>
    <w:tmpl w:val="7728D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2D365A"/>
    <w:multiLevelType w:val="hybridMultilevel"/>
    <w:tmpl w:val="1206BD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DBF59A8"/>
    <w:multiLevelType w:val="hybridMultilevel"/>
    <w:tmpl w:val="F8D002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27D3F39"/>
    <w:multiLevelType w:val="hybridMultilevel"/>
    <w:tmpl w:val="03621E38"/>
    <w:lvl w:ilvl="0" w:tplc="CDDADE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1542C9"/>
    <w:multiLevelType w:val="hybridMultilevel"/>
    <w:tmpl w:val="5CBC2EEC"/>
    <w:lvl w:ilvl="0" w:tplc="2458BFBE">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DE73720"/>
    <w:multiLevelType w:val="hybridMultilevel"/>
    <w:tmpl w:val="FFF4BB82"/>
    <w:lvl w:ilvl="0" w:tplc="0DA6E6BA">
      <w:start w:val="1"/>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35077B5A"/>
    <w:multiLevelType w:val="hybridMultilevel"/>
    <w:tmpl w:val="1B247B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0292C9E"/>
    <w:multiLevelType w:val="hybridMultilevel"/>
    <w:tmpl w:val="4176E07E"/>
    <w:lvl w:ilvl="0" w:tplc="59324D42">
      <w:start w:val="1"/>
      <w:numFmt w:val="bullet"/>
      <w:lvlText w:val="-"/>
      <w:lvlJc w:val="left"/>
      <w:pPr>
        <w:ind w:left="1170" w:hanging="360"/>
      </w:pPr>
      <w:rPr>
        <w:rFonts w:ascii="Arial" w:eastAsiaTheme="minorHAnsi" w:hAnsi="Arial" w:cs="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nsid w:val="40DD13FB"/>
    <w:multiLevelType w:val="hybridMultilevel"/>
    <w:tmpl w:val="2220A4F6"/>
    <w:lvl w:ilvl="0" w:tplc="1F20592A">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4AB0C16"/>
    <w:multiLevelType w:val="hybridMultilevel"/>
    <w:tmpl w:val="2F3209A2"/>
    <w:lvl w:ilvl="0" w:tplc="099A9BD2">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02547F"/>
    <w:multiLevelType w:val="hybridMultilevel"/>
    <w:tmpl w:val="14C8A5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A544A1"/>
    <w:multiLevelType w:val="hybridMultilevel"/>
    <w:tmpl w:val="B61CC610"/>
    <w:lvl w:ilvl="0" w:tplc="83BC608E">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23C5A7F"/>
    <w:multiLevelType w:val="hybridMultilevel"/>
    <w:tmpl w:val="10FCF442"/>
    <w:lvl w:ilvl="0" w:tplc="19FEA5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353A3D"/>
    <w:multiLevelType w:val="hybridMultilevel"/>
    <w:tmpl w:val="87F4FF42"/>
    <w:lvl w:ilvl="0" w:tplc="C56423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BC415E"/>
    <w:multiLevelType w:val="hybridMultilevel"/>
    <w:tmpl w:val="CF64D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F604DC6"/>
    <w:multiLevelType w:val="hybridMultilevel"/>
    <w:tmpl w:val="CFE2CDA8"/>
    <w:lvl w:ilvl="0" w:tplc="EEE0CDB2">
      <w:start w:val="1"/>
      <w:numFmt w:val="bullet"/>
      <w:lvlText w:val=""/>
      <w:lvlJc w:val="left"/>
      <w:pPr>
        <w:ind w:left="1440" w:hanging="360"/>
      </w:pPr>
      <w:rPr>
        <w:rFonts w:ascii="Symbol" w:eastAsiaTheme="minorHAnsi"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6"/>
  </w:num>
  <w:num w:numId="2">
    <w:abstractNumId w:val="1"/>
  </w:num>
  <w:num w:numId="3">
    <w:abstractNumId w:val="14"/>
  </w:num>
  <w:num w:numId="4">
    <w:abstractNumId w:val="13"/>
  </w:num>
  <w:num w:numId="5">
    <w:abstractNumId w:val="21"/>
  </w:num>
  <w:num w:numId="6">
    <w:abstractNumId w:val="6"/>
  </w:num>
  <w:num w:numId="7">
    <w:abstractNumId w:val="4"/>
  </w:num>
  <w:num w:numId="8">
    <w:abstractNumId w:val="17"/>
  </w:num>
  <w:num w:numId="9">
    <w:abstractNumId w:val="15"/>
  </w:num>
  <w:num w:numId="10">
    <w:abstractNumId w:val="20"/>
  </w:num>
  <w:num w:numId="11">
    <w:abstractNumId w:val="0"/>
  </w:num>
  <w:num w:numId="12">
    <w:abstractNumId w:val="10"/>
  </w:num>
  <w:num w:numId="13">
    <w:abstractNumId w:val="5"/>
  </w:num>
  <w:num w:numId="14">
    <w:abstractNumId w:val="11"/>
  </w:num>
  <w:num w:numId="15">
    <w:abstractNumId w:val="19"/>
  </w:num>
  <w:num w:numId="16">
    <w:abstractNumId w:val="12"/>
  </w:num>
  <w:num w:numId="17">
    <w:abstractNumId w:val="3"/>
  </w:num>
  <w:num w:numId="18">
    <w:abstractNumId w:val="8"/>
  </w:num>
  <w:num w:numId="19">
    <w:abstractNumId w:val="7"/>
  </w:num>
  <w:num w:numId="20">
    <w:abstractNumId w:val="2"/>
  </w:num>
  <w:num w:numId="21">
    <w:abstractNumId w:val="18"/>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523F"/>
    <w:rsid w:val="000820E8"/>
    <w:rsid w:val="000C0846"/>
    <w:rsid w:val="001175EE"/>
    <w:rsid w:val="00157CF6"/>
    <w:rsid w:val="00182416"/>
    <w:rsid w:val="00187EB4"/>
    <w:rsid w:val="001C7F36"/>
    <w:rsid w:val="001D5817"/>
    <w:rsid w:val="001F0481"/>
    <w:rsid w:val="00200C92"/>
    <w:rsid w:val="0020451E"/>
    <w:rsid w:val="00206B9D"/>
    <w:rsid w:val="00221CA2"/>
    <w:rsid w:val="0023259C"/>
    <w:rsid w:val="002519D5"/>
    <w:rsid w:val="002B0BD7"/>
    <w:rsid w:val="002B573D"/>
    <w:rsid w:val="002C5CB2"/>
    <w:rsid w:val="002F779F"/>
    <w:rsid w:val="0035292E"/>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331B"/>
    <w:rsid w:val="0070347F"/>
    <w:rsid w:val="0070678E"/>
    <w:rsid w:val="007C2D3F"/>
    <w:rsid w:val="00823A49"/>
    <w:rsid w:val="00831C11"/>
    <w:rsid w:val="008A60B4"/>
    <w:rsid w:val="008B3C31"/>
    <w:rsid w:val="008B64FE"/>
    <w:rsid w:val="009046B1"/>
    <w:rsid w:val="00935BF7"/>
    <w:rsid w:val="0095442C"/>
    <w:rsid w:val="00983942"/>
    <w:rsid w:val="009C37E0"/>
    <w:rsid w:val="009E41F4"/>
    <w:rsid w:val="00A14B66"/>
    <w:rsid w:val="00A65CF7"/>
    <w:rsid w:val="00A81AB4"/>
    <w:rsid w:val="00A851DA"/>
    <w:rsid w:val="00A96508"/>
    <w:rsid w:val="00AC7D5B"/>
    <w:rsid w:val="00AE1481"/>
    <w:rsid w:val="00B0415E"/>
    <w:rsid w:val="00B04678"/>
    <w:rsid w:val="00BC46DF"/>
    <w:rsid w:val="00C03577"/>
    <w:rsid w:val="00C53029"/>
    <w:rsid w:val="00C65FEA"/>
    <w:rsid w:val="00CA0AC2"/>
    <w:rsid w:val="00CA7279"/>
    <w:rsid w:val="00CB4D0A"/>
    <w:rsid w:val="00CC2FB3"/>
    <w:rsid w:val="00CC575A"/>
    <w:rsid w:val="00CE120F"/>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70AF"/>
    <w:rsid w:val="00F343D0"/>
    <w:rsid w:val="00F96EB3"/>
    <w:rsid w:val="00FE45E2"/>
    <w:rsid w:val="00FF24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A7279"/>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3114D-DA06-4DA2-B4F0-B5C9793F2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cp:revision>
  <dcterms:created xsi:type="dcterms:W3CDTF">2015-01-26T12:24:00Z</dcterms:created>
  <dcterms:modified xsi:type="dcterms:W3CDTF">2015-06-08T10:03:00Z</dcterms:modified>
</cp:coreProperties>
</file>