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C5C"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sidRPr="003238A1">
              <w:rPr>
                <w:rFonts w:ascii="Arial" w:hAnsi="Arial" w:cs="Arial"/>
              </w:rPr>
              <w:t>Gemma Banham</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0A53B2" w:rsidP="00F10B12">
            <w:pPr>
              <w:rPr>
                <w:rFonts w:ascii="Arial" w:hAnsi="Arial" w:cs="Arial"/>
                <w:sz w:val="24"/>
                <w:szCs w:val="24"/>
              </w:rPr>
            </w:pPr>
            <w:r>
              <w:rPr>
                <w:rFonts w:ascii="Arial" w:hAnsi="Arial" w:cs="Arial"/>
                <w:sz w:val="24"/>
                <w:szCs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3"/>
        <w:gridCol w:w="1247"/>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r>
              <w:rPr>
                <w:rFonts w:ascii="Arial" w:hAnsi="Arial" w:cs="Arial"/>
                <w:color w:val="000000"/>
                <w:sz w:val="24"/>
                <w:szCs w:val="24"/>
              </w:rPr>
              <w:t>Gemma Banham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53B2" w:rsidP="00A851DA">
            <w:pPr>
              <w:rPr>
                <w:rFonts w:cs="Bliss-Regular"/>
                <w:color w:val="000000"/>
              </w:rPr>
            </w:pPr>
            <w:r>
              <w:rPr>
                <w:rFonts w:ascii="Arial" w:hAnsi="Arial" w:cs="Arial"/>
                <w:color w:val="000000"/>
                <w:sz w:val="24"/>
                <w:szCs w:val="24"/>
              </w:rPr>
              <w:t>16/12</w:t>
            </w:r>
            <w:r w:rsidR="00F10B12">
              <w:rPr>
                <w:rFonts w:ascii="Arial" w:hAnsi="Arial" w:cs="Arial"/>
                <w:color w:val="000000"/>
                <w:sz w:val="24"/>
                <w:szCs w:val="24"/>
              </w:rPr>
              <w:t>/2015</w:t>
            </w:r>
          </w:p>
        </w:tc>
      </w:tr>
    </w:tbl>
    <w:p w:rsidR="000B62F5" w:rsidRDefault="000B62F5" w:rsidP="000B62F5">
      <w:pPr>
        <w:spacing w:line="360" w:lineRule="auto"/>
        <w:rPr>
          <w:rFonts w:cs="Bliss-Regular"/>
          <w:color w:val="000000"/>
          <w:lang w:val="en-US"/>
        </w:rPr>
      </w:pPr>
    </w:p>
    <w:p w:rsidR="000B62F5" w:rsidRDefault="000B62F5" w:rsidP="000B62F5">
      <w:pPr>
        <w:spacing w:line="360" w:lineRule="auto"/>
        <w:rPr>
          <w:rFonts w:ascii="Arial" w:hAnsi="Arial" w:cs="Arial"/>
          <w:sz w:val="24"/>
          <w:szCs w:val="24"/>
        </w:rPr>
      </w:pPr>
      <w:r w:rsidRPr="008F24D7">
        <w:rPr>
          <w:rFonts w:ascii="Arial" w:hAnsi="Arial" w:cs="Arial"/>
          <w:sz w:val="24"/>
          <w:szCs w:val="24"/>
        </w:rPr>
        <w:lastRenderedPageBreak/>
        <w:t>Q1.</w:t>
      </w:r>
    </w:p>
    <w:p w:rsidR="000B62F5" w:rsidRDefault="000B62F5" w:rsidP="000B62F5">
      <w:pPr>
        <w:pStyle w:val="ListParagraph"/>
        <w:numPr>
          <w:ilvl w:val="0"/>
          <w:numId w:val="7"/>
        </w:numPr>
        <w:spacing w:after="160" w:line="360" w:lineRule="auto"/>
        <w:rPr>
          <w:rFonts w:ascii="Arial" w:hAnsi="Arial" w:cs="Arial"/>
          <w:sz w:val="24"/>
          <w:szCs w:val="24"/>
        </w:rPr>
      </w:pPr>
      <w:r>
        <w:rPr>
          <w:rFonts w:ascii="Arial" w:hAnsi="Arial" w:cs="Arial"/>
          <w:sz w:val="24"/>
          <w:szCs w:val="24"/>
        </w:rPr>
        <w:t>A reactive investigation is one that takes places following the notification of a crime by a victim. Once the crime has been reported the investigator will react by commencing an investigation. In comparison, a proactive investigation takes places based on an investigators findings. There is no initial complaint to trigger this type of investigation, the trigger is the finding of evidence showing fraudulent activity has taken place.</w:t>
      </w:r>
    </w:p>
    <w:p w:rsidR="000B62F5" w:rsidRDefault="000B62F5" w:rsidP="000B62F5">
      <w:pPr>
        <w:pStyle w:val="ListParagraph"/>
        <w:numPr>
          <w:ilvl w:val="0"/>
          <w:numId w:val="7"/>
        </w:numPr>
        <w:spacing w:after="160" w:line="360" w:lineRule="auto"/>
        <w:rPr>
          <w:rFonts w:ascii="Arial" w:hAnsi="Arial" w:cs="Arial"/>
          <w:sz w:val="24"/>
          <w:szCs w:val="24"/>
        </w:rPr>
      </w:pPr>
      <w:r>
        <w:rPr>
          <w:rFonts w:ascii="Arial" w:hAnsi="Arial" w:cs="Arial"/>
          <w:sz w:val="24"/>
          <w:szCs w:val="24"/>
        </w:rPr>
        <w:t>Solvability factors are the items which can indicate the likeliness of an investigation to be successful. Weighted solvability factor systems compare the various factors and view some as more important than others. This weighting is based on statistical research and anecdotal experience. An un-weighted solvability factor system considers all factors as equally important. These systems are usually based on anecdotal experience.</w:t>
      </w:r>
    </w:p>
    <w:p w:rsidR="000B62F5" w:rsidRDefault="000B62F5" w:rsidP="000B62F5">
      <w:pPr>
        <w:pStyle w:val="ListParagraph"/>
        <w:numPr>
          <w:ilvl w:val="0"/>
          <w:numId w:val="7"/>
        </w:numPr>
        <w:spacing w:after="160" w:line="360" w:lineRule="auto"/>
        <w:rPr>
          <w:rFonts w:ascii="Arial" w:hAnsi="Arial" w:cs="Arial"/>
          <w:sz w:val="24"/>
          <w:szCs w:val="24"/>
        </w:rPr>
      </w:pPr>
      <w:r w:rsidRPr="009F2B5C">
        <w:rPr>
          <w:rFonts w:ascii="Arial" w:hAnsi="Arial" w:cs="Arial"/>
          <w:sz w:val="24"/>
          <w:szCs w:val="24"/>
        </w:rPr>
        <w:t>Determining the goals of an investigation is important as it considers the overall aim of the claimant. In a criminal fraud investigation this goal is likely to be fairly simple but in a civil fraud investigation this may not be so clear. It is likely that the investigator will have to educate the complainant and explain the obtainable results and the acceptable outcomes of the investigation. Once they have then been able to reach a set of common expectations the goals can be identified and agreed. These goals allow both the investigator and the complainant to assess the progress of the investigation and the acceptableness of the case’s outcome.</w:t>
      </w:r>
      <w:r>
        <w:rPr>
          <w:rFonts w:ascii="Arial" w:hAnsi="Arial" w:cs="Arial"/>
          <w:sz w:val="24"/>
          <w:szCs w:val="24"/>
        </w:rPr>
        <w:t xml:space="preserve"> </w:t>
      </w:r>
      <w:r w:rsidRPr="009F2B5C">
        <w:rPr>
          <w:rFonts w:ascii="Arial" w:hAnsi="Arial" w:cs="Arial"/>
          <w:sz w:val="24"/>
          <w:szCs w:val="24"/>
        </w:rPr>
        <w:t xml:space="preserve">In addition to managing the expectations of the complainant the setting of goals provides a solid base to build an investigative plan. </w:t>
      </w:r>
    </w:p>
    <w:p w:rsidR="000B62F5" w:rsidRDefault="000B62F5" w:rsidP="000B62F5">
      <w:pPr>
        <w:pStyle w:val="ListParagraph"/>
        <w:numPr>
          <w:ilvl w:val="0"/>
          <w:numId w:val="7"/>
        </w:numPr>
        <w:spacing w:after="160" w:line="360" w:lineRule="auto"/>
        <w:rPr>
          <w:rFonts w:ascii="Arial" w:hAnsi="Arial" w:cs="Arial"/>
          <w:sz w:val="24"/>
          <w:szCs w:val="24"/>
        </w:rPr>
      </w:pPr>
      <w:r>
        <w:rPr>
          <w:rFonts w:ascii="Arial" w:hAnsi="Arial" w:cs="Arial"/>
          <w:sz w:val="24"/>
          <w:szCs w:val="24"/>
        </w:rPr>
        <w:t>A good investigative plan has 3 major goals:</w:t>
      </w:r>
    </w:p>
    <w:p w:rsidR="000B62F5" w:rsidRDefault="000B62F5" w:rsidP="000B62F5">
      <w:pPr>
        <w:pStyle w:val="ListParagraph"/>
        <w:numPr>
          <w:ilvl w:val="0"/>
          <w:numId w:val="8"/>
        </w:numPr>
        <w:spacing w:after="160" w:line="360" w:lineRule="auto"/>
        <w:rPr>
          <w:rFonts w:ascii="Arial" w:hAnsi="Arial" w:cs="Arial"/>
          <w:sz w:val="24"/>
          <w:szCs w:val="24"/>
        </w:rPr>
      </w:pPr>
      <w:r>
        <w:rPr>
          <w:rFonts w:ascii="Arial" w:hAnsi="Arial" w:cs="Arial"/>
          <w:sz w:val="24"/>
          <w:szCs w:val="24"/>
        </w:rPr>
        <w:t>T</w:t>
      </w:r>
      <w:r w:rsidRPr="009F2B5C">
        <w:rPr>
          <w:rFonts w:ascii="Arial" w:hAnsi="Arial" w:cs="Arial"/>
          <w:sz w:val="24"/>
          <w:szCs w:val="24"/>
        </w:rPr>
        <w:t>o maintain focus in line with the investigation goals</w:t>
      </w:r>
      <w:r>
        <w:rPr>
          <w:rFonts w:ascii="Arial" w:hAnsi="Arial" w:cs="Arial"/>
          <w:sz w:val="24"/>
          <w:szCs w:val="24"/>
        </w:rPr>
        <w:t>. It should also ensure that there is no duplication of effort nor than any oversights of any leads</w:t>
      </w:r>
    </w:p>
    <w:p w:rsidR="000B62F5" w:rsidRDefault="000B62F5" w:rsidP="000B62F5">
      <w:pPr>
        <w:pStyle w:val="ListParagraph"/>
        <w:numPr>
          <w:ilvl w:val="0"/>
          <w:numId w:val="8"/>
        </w:numPr>
        <w:spacing w:after="160" w:line="360" w:lineRule="auto"/>
        <w:rPr>
          <w:rFonts w:ascii="Arial" w:hAnsi="Arial" w:cs="Arial"/>
          <w:sz w:val="24"/>
          <w:szCs w:val="24"/>
        </w:rPr>
      </w:pPr>
      <w:r>
        <w:rPr>
          <w:rFonts w:ascii="Arial" w:hAnsi="Arial" w:cs="Arial"/>
          <w:sz w:val="24"/>
          <w:szCs w:val="24"/>
        </w:rPr>
        <w:t>To control growth, many financial investigations will become massive, a strong plan can help to manage this as/if it happens</w:t>
      </w:r>
    </w:p>
    <w:p w:rsidR="000B62F5" w:rsidRDefault="000B62F5" w:rsidP="000B62F5">
      <w:pPr>
        <w:pStyle w:val="ListParagraph"/>
        <w:numPr>
          <w:ilvl w:val="0"/>
          <w:numId w:val="8"/>
        </w:numPr>
        <w:spacing w:after="160" w:line="360" w:lineRule="auto"/>
        <w:rPr>
          <w:rFonts w:ascii="Arial" w:hAnsi="Arial" w:cs="Arial"/>
          <w:sz w:val="24"/>
          <w:szCs w:val="24"/>
        </w:rPr>
      </w:pPr>
      <w:r>
        <w:rPr>
          <w:rFonts w:ascii="Arial" w:hAnsi="Arial" w:cs="Arial"/>
          <w:sz w:val="24"/>
          <w:szCs w:val="24"/>
        </w:rPr>
        <w:t>Adaptability, this will ensure that any major changes in the investigation will not require the plan to be completely re-written.</w:t>
      </w:r>
    </w:p>
    <w:p w:rsidR="000B62F5" w:rsidRDefault="000B62F5" w:rsidP="000B62F5">
      <w:pPr>
        <w:pStyle w:val="ListParagraph"/>
        <w:numPr>
          <w:ilvl w:val="0"/>
          <w:numId w:val="7"/>
        </w:numPr>
        <w:spacing w:after="160" w:line="360" w:lineRule="auto"/>
        <w:rPr>
          <w:rFonts w:ascii="Arial" w:hAnsi="Arial" w:cs="Arial"/>
          <w:sz w:val="24"/>
          <w:szCs w:val="24"/>
        </w:rPr>
      </w:pPr>
      <w:r>
        <w:rPr>
          <w:rFonts w:ascii="Arial" w:hAnsi="Arial" w:cs="Arial"/>
          <w:sz w:val="24"/>
          <w:szCs w:val="24"/>
        </w:rPr>
        <w:t xml:space="preserve">When planning the investigative plan it is best to consider the support that will be required during the investigation. This way they can obtain this support </w:t>
      </w:r>
      <w:r>
        <w:rPr>
          <w:rFonts w:ascii="Arial" w:hAnsi="Arial" w:cs="Arial"/>
          <w:sz w:val="24"/>
          <w:szCs w:val="24"/>
        </w:rPr>
        <w:lastRenderedPageBreak/>
        <w:t>ahead of time to avoid any delays. They must consider the financial planning of the investigation as there will never be as much money as the investigator would like to spend and therefore some cost/benefit considerations must be made. The number of personnel required for the investigation must be determined, it should also be considered if any specific skills or experts are required. The type of technology required to complete the investigation should also be considered. This could require some long-term or short-term investment.</w:t>
      </w:r>
    </w:p>
    <w:p w:rsidR="000B62F5" w:rsidRDefault="000B62F5" w:rsidP="000B62F5">
      <w:pPr>
        <w:pStyle w:val="ListParagraph"/>
        <w:numPr>
          <w:ilvl w:val="0"/>
          <w:numId w:val="7"/>
        </w:numPr>
        <w:spacing w:after="160" w:line="360" w:lineRule="auto"/>
        <w:rPr>
          <w:rFonts w:ascii="Arial" w:hAnsi="Arial" w:cs="Arial"/>
          <w:sz w:val="24"/>
          <w:szCs w:val="24"/>
        </w:rPr>
      </w:pPr>
      <w:r>
        <w:rPr>
          <w:rFonts w:ascii="Arial" w:hAnsi="Arial" w:cs="Arial"/>
          <w:sz w:val="24"/>
          <w:szCs w:val="24"/>
        </w:rPr>
        <w:t>The three main areas of the intelligence gathering process are:</w:t>
      </w:r>
    </w:p>
    <w:p w:rsidR="000B62F5" w:rsidRDefault="000B62F5" w:rsidP="000B62F5">
      <w:pPr>
        <w:pStyle w:val="ListParagraph"/>
        <w:numPr>
          <w:ilvl w:val="0"/>
          <w:numId w:val="9"/>
        </w:numPr>
        <w:spacing w:after="160" w:line="360" w:lineRule="auto"/>
        <w:rPr>
          <w:rFonts w:ascii="Arial" w:hAnsi="Arial" w:cs="Arial"/>
          <w:sz w:val="24"/>
          <w:szCs w:val="24"/>
        </w:rPr>
      </w:pPr>
      <w:r>
        <w:rPr>
          <w:rFonts w:ascii="Arial" w:hAnsi="Arial" w:cs="Arial"/>
          <w:sz w:val="24"/>
          <w:szCs w:val="24"/>
        </w:rPr>
        <w:t>Surveillance of the suspect (or victim) can provide valuable information and uncover facts e.g. the existence of valuable assets</w:t>
      </w:r>
    </w:p>
    <w:p w:rsidR="000B62F5" w:rsidRDefault="000B62F5" w:rsidP="000B62F5">
      <w:pPr>
        <w:pStyle w:val="ListParagraph"/>
        <w:numPr>
          <w:ilvl w:val="0"/>
          <w:numId w:val="9"/>
        </w:numPr>
        <w:spacing w:after="160" w:line="360" w:lineRule="auto"/>
        <w:rPr>
          <w:rFonts w:ascii="Arial" w:hAnsi="Arial" w:cs="Arial"/>
          <w:sz w:val="24"/>
          <w:szCs w:val="24"/>
        </w:rPr>
      </w:pPr>
      <w:r>
        <w:rPr>
          <w:rFonts w:ascii="Arial" w:hAnsi="Arial" w:cs="Arial"/>
          <w:sz w:val="24"/>
          <w:szCs w:val="24"/>
        </w:rPr>
        <w:t>Database searches, the use of either private or public databases can provide evidence such as property owned or credit rating</w:t>
      </w:r>
    </w:p>
    <w:p w:rsidR="000B62F5" w:rsidRDefault="000B62F5" w:rsidP="000B62F5">
      <w:pPr>
        <w:pStyle w:val="ListParagraph"/>
        <w:numPr>
          <w:ilvl w:val="0"/>
          <w:numId w:val="9"/>
        </w:numPr>
        <w:spacing w:after="160" w:line="360" w:lineRule="auto"/>
        <w:rPr>
          <w:rFonts w:ascii="Arial" w:hAnsi="Arial" w:cs="Arial"/>
          <w:sz w:val="24"/>
          <w:szCs w:val="24"/>
        </w:rPr>
      </w:pPr>
      <w:r>
        <w:rPr>
          <w:rFonts w:ascii="Arial" w:hAnsi="Arial" w:cs="Arial"/>
          <w:sz w:val="24"/>
          <w:szCs w:val="24"/>
        </w:rPr>
        <w:t>Trash collection from the suspect can provide evidence of the fraud as people tend to be less careful about what they are throwing away.</w:t>
      </w:r>
    </w:p>
    <w:p w:rsidR="000B62F5" w:rsidRDefault="000B62F5" w:rsidP="000B62F5">
      <w:pPr>
        <w:spacing w:line="360" w:lineRule="auto"/>
        <w:rPr>
          <w:rFonts w:ascii="Arial" w:hAnsi="Arial" w:cs="Arial"/>
          <w:sz w:val="24"/>
          <w:szCs w:val="24"/>
        </w:rPr>
      </w:pPr>
    </w:p>
    <w:p w:rsidR="000B62F5" w:rsidRDefault="000B62F5" w:rsidP="000B62F5">
      <w:pPr>
        <w:spacing w:line="360" w:lineRule="auto"/>
        <w:rPr>
          <w:rFonts w:ascii="Arial" w:hAnsi="Arial" w:cs="Arial"/>
          <w:sz w:val="24"/>
          <w:szCs w:val="24"/>
        </w:rPr>
      </w:pPr>
      <w:r>
        <w:rPr>
          <w:rFonts w:ascii="Arial" w:hAnsi="Arial" w:cs="Arial"/>
          <w:sz w:val="24"/>
          <w:szCs w:val="24"/>
        </w:rPr>
        <w:t>Q2.</w:t>
      </w:r>
    </w:p>
    <w:p w:rsidR="000B62F5" w:rsidRDefault="000B62F5" w:rsidP="000B62F5">
      <w:pPr>
        <w:pStyle w:val="ListParagraph"/>
        <w:numPr>
          <w:ilvl w:val="0"/>
          <w:numId w:val="10"/>
        </w:numPr>
        <w:spacing w:after="160" w:line="360" w:lineRule="auto"/>
        <w:rPr>
          <w:rFonts w:ascii="Arial" w:hAnsi="Arial" w:cs="Arial"/>
          <w:sz w:val="24"/>
          <w:szCs w:val="24"/>
        </w:rPr>
      </w:pPr>
      <w:r w:rsidRPr="006962C1">
        <w:rPr>
          <w:rFonts w:ascii="Arial" w:hAnsi="Arial" w:cs="Arial"/>
          <w:sz w:val="24"/>
          <w:szCs w:val="24"/>
        </w:rPr>
        <w:t>Private databases, these are databases with restricted access</w:t>
      </w:r>
      <w:r>
        <w:rPr>
          <w:rFonts w:ascii="Arial" w:hAnsi="Arial" w:cs="Arial"/>
          <w:sz w:val="24"/>
          <w:szCs w:val="24"/>
        </w:rPr>
        <w:t>. They can be from a number of sources including government and commercial sources. These databases can hold a variety of information including credit ratings and real estate records. It is possible for individuals to access some private databases at a cost but some are only accessible by law enforcement personnel if required for a legitimate reason.</w:t>
      </w:r>
    </w:p>
    <w:p w:rsidR="000B62F5" w:rsidRDefault="000B62F5" w:rsidP="000B62F5">
      <w:pPr>
        <w:pStyle w:val="ListParagraph"/>
        <w:numPr>
          <w:ilvl w:val="0"/>
          <w:numId w:val="10"/>
        </w:numPr>
        <w:spacing w:after="160" w:line="360" w:lineRule="auto"/>
        <w:rPr>
          <w:rFonts w:ascii="Arial" w:hAnsi="Arial" w:cs="Arial"/>
          <w:sz w:val="24"/>
          <w:szCs w:val="24"/>
        </w:rPr>
      </w:pPr>
      <w:r>
        <w:rPr>
          <w:rFonts w:ascii="Arial" w:hAnsi="Arial" w:cs="Arial"/>
          <w:sz w:val="24"/>
          <w:szCs w:val="24"/>
        </w:rPr>
        <w:t xml:space="preserve">Public databases, these are holding more and more information as government agencies are releasing data and allowing the public to access it. These public databases are usually cheaper to use than private databases but also slower to use. The worldwide web is the largest public database in the world. It is often possible to find the same result in either a public or private database but it will take a lot longer to find the information in public databases as it is likely that many databases must be checked to get the same information that could be obtained from one private database. The cost </w:t>
      </w:r>
      <w:r>
        <w:rPr>
          <w:rFonts w:ascii="Arial" w:hAnsi="Arial" w:cs="Arial"/>
          <w:sz w:val="24"/>
          <w:szCs w:val="24"/>
        </w:rPr>
        <w:lastRenderedPageBreak/>
        <w:t>of the use of the private database would need to be considered and compared against the additional time it would take to use the public database.</w:t>
      </w:r>
    </w:p>
    <w:p w:rsidR="000B62F5" w:rsidRDefault="000B62F5" w:rsidP="000B62F5">
      <w:pPr>
        <w:spacing w:line="360" w:lineRule="auto"/>
        <w:rPr>
          <w:rFonts w:ascii="Arial" w:hAnsi="Arial" w:cs="Arial"/>
          <w:sz w:val="24"/>
          <w:szCs w:val="24"/>
        </w:rPr>
      </w:pPr>
    </w:p>
    <w:p w:rsidR="000B62F5" w:rsidRPr="00F52A0D" w:rsidRDefault="000B62F5" w:rsidP="000B62F5">
      <w:pPr>
        <w:spacing w:line="360" w:lineRule="auto"/>
        <w:ind w:left="720" w:hanging="720"/>
        <w:rPr>
          <w:rFonts w:ascii="Arial" w:hAnsi="Arial" w:cs="Arial"/>
          <w:sz w:val="24"/>
          <w:szCs w:val="24"/>
        </w:rPr>
      </w:pPr>
      <w:r>
        <w:rPr>
          <w:rFonts w:ascii="Arial" w:hAnsi="Arial" w:cs="Arial"/>
          <w:sz w:val="24"/>
          <w:szCs w:val="24"/>
        </w:rPr>
        <w:t>Q3.</w:t>
      </w:r>
      <w:r>
        <w:rPr>
          <w:rFonts w:ascii="Arial" w:hAnsi="Arial" w:cs="Arial"/>
          <w:sz w:val="24"/>
          <w:szCs w:val="24"/>
        </w:rPr>
        <w:tab/>
        <w:t>Financial crime generally results in higher volumes of evidence and more complicated theories of evidence than non-financial</w:t>
      </w:r>
      <w:r w:rsidRPr="00F52A0D">
        <w:rPr>
          <w:rFonts w:ascii="Arial" w:hAnsi="Arial" w:cs="Arial"/>
          <w:sz w:val="24"/>
          <w:szCs w:val="24"/>
        </w:rPr>
        <w:t xml:space="preserve"> </w:t>
      </w:r>
      <w:r>
        <w:rPr>
          <w:rFonts w:ascii="Arial" w:hAnsi="Arial" w:cs="Arial"/>
          <w:sz w:val="24"/>
          <w:szCs w:val="24"/>
        </w:rPr>
        <w:t>crime. This is because there will be several aspects of the fraud in question. Fraud schemes are likely to have a number of variations and often end up extremely intricate and complex. In addition, the business world is in itself very complex and always changing. The forms of businesses are constantly evolving, as is the debt and equity instruments used in business. It is therefore important to form your investigative plan in a way that allows adaptability and focus to ensure that the large amount of evidence does not cause the investigator to lose the direction of the investigation. In addition to this strong foundation for the investigation, a full understanding of the business should be gained including its nature and structure. The investigator should also be familiar with the budgeting process, the control mechanisms, decision making authority, the industry and the economic factors effecting the company.</w:t>
      </w:r>
    </w:p>
    <w:p w:rsidR="000B62F5" w:rsidRPr="009F2B5C" w:rsidRDefault="000B62F5" w:rsidP="000B62F5">
      <w:pPr>
        <w:spacing w:line="360" w:lineRule="auto"/>
        <w:rPr>
          <w:rFonts w:ascii="Arial" w:hAnsi="Arial" w:cs="Arial"/>
          <w:sz w:val="24"/>
          <w:szCs w:val="24"/>
        </w:rPr>
      </w:pPr>
      <w:r w:rsidRPr="009F2B5C">
        <w:rPr>
          <w:rFonts w:ascii="Arial" w:hAnsi="Arial" w:cs="Arial"/>
          <w:sz w:val="24"/>
          <w:szCs w:val="24"/>
        </w:rPr>
        <w:t xml:space="preserve">  </w:t>
      </w:r>
    </w:p>
    <w:p w:rsidR="000B62F5" w:rsidRDefault="000B62F5" w:rsidP="000B62F5">
      <w:pPr>
        <w:spacing w:line="360" w:lineRule="auto"/>
        <w:rPr>
          <w:rFonts w:ascii="Arial" w:hAnsi="Arial" w:cs="Arial"/>
          <w:sz w:val="24"/>
          <w:szCs w:val="24"/>
        </w:rPr>
      </w:pPr>
      <w:r>
        <w:rPr>
          <w:rFonts w:ascii="Arial" w:hAnsi="Arial" w:cs="Arial"/>
          <w:sz w:val="24"/>
          <w:szCs w:val="24"/>
        </w:rPr>
        <w:t>Case Study</w:t>
      </w:r>
    </w:p>
    <w:p w:rsidR="000B62F5" w:rsidRDefault="000B62F5" w:rsidP="000B62F5">
      <w:pPr>
        <w:pStyle w:val="ListParagraph"/>
        <w:numPr>
          <w:ilvl w:val="0"/>
          <w:numId w:val="11"/>
        </w:numPr>
        <w:spacing w:after="160" w:line="360" w:lineRule="auto"/>
        <w:rPr>
          <w:rFonts w:ascii="Arial" w:hAnsi="Arial" w:cs="Arial"/>
          <w:sz w:val="24"/>
          <w:szCs w:val="24"/>
        </w:rPr>
      </w:pPr>
      <w:r>
        <w:rPr>
          <w:rFonts w:ascii="Arial" w:hAnsi="Arial" w:cs="Arial"/>
          <w:sz w:val="24"/>
          <w:szCs w:val="24"/>
        </w:rPr>
        <w:t>The Pub Owner’s self-devised accounting system and instructions to Byron may not take into consideration the following points:</w:t>
      </w:r>
    </w:p>
    <w:p w:rsidR="000B62F5" w:rsidRDefault="000B62F5" w:rsidP="000B62F5">
      <w:pPr>
        <w:pStyle w:val="ListParagraph"/>
        <w:numPr>
          <w:ilvl w:val="1"/>
          <w:numId w:val="11"/>
        </w:numPr>
        <w:spacing w:after="160" w:line="360" w:lineRule="auto"/>
        <w:rPr>
          <w:rFonts w:ascii="Arial" w:hAnsi="Arial" w:cs="Arial"/>
          <w:sz w:val="24"/>
          <w:szCs w:val="24"/>
        </w:rPr>
      </w:pPr>
      <w:r>
        <w:rPr>
          <w:rFonts w:ascii="Arial" w:hAnsi="Arial" w:cs="Arial"/>
          <w:sz w:val="24"/>
          <w:szCs w:val="24"/>
        </w:rPr>
        <w:t>How often to bank, has the amount of cash on site been checked</w:t>
      </w:r>
    </w:p>
    <w:p w:rsidR="000B62F5" w:rsidRDefault="000B62F5" w:rsidP="000B62F5">
      <w:pPr>
        <w:pStyle w:val="ListParagraph"/>
        <w:numPr>
          <w:ilvl w:val="1"/>
          <w:numId w:val="11"/>
        </w:numPr>
        <w:spacing w:after="160" w:line="360" w:lineRule="auto"/>
        <w:rPr>
          <w:rFonts w:ascii="Arial" w:hAnsi="Arial" w:cs="Arial"/>
          <w:sz w:val="24"/>
          <w:szCs w:val="24"/>
        </w:rPr>
      </w:pPr>
      <w:r>
        <w:rPr>
          <w:rFonts w:ascii="Arial" w:hAnsi="Arial" w:cs="Arial"/>
          <w:sz w:val="24"/>
          <w:szCs w:val="24"/>
        </w:rPr>
        <w:t>A reconciliation of the values banked with the values cleared through the bank to ensure all amounts banked clear in a timely manner.</w:t>
      </w:r>
    </w:p>
    <w:p w:rsidR="000B62F5" w:rsidRDefault="000B62F5" w:rsidP="000B62F5">
      <w:pPr>
        <w:pStyle w:val="ListParagraph"/>
        <w:numPr>
          <w:ilvl w:val="1"/>
          <w:numId w:val="11"/>
        </w:numPr>
        <w:spacing w:after="160" w:line="360" w:lineRule="auto"/>
        <w:rPr>
          <w:rFonts w:ascii="Arial" w:hAnsi="Arial" w:cs="Arial"/>
          <w:sz w:val="24"/>
          <w:szCs w:val="24"/>
        </w:rPr>
      </w:pPr>
      <w:r>
        <w:rPr>
          <w:rFonts w:ascii="Arial" w:hAnsi="Arial" w:cs="Arial"/>
          <w:sz w:val="24"/>
          <w:szCs w:val="24"/>
        </w:rPr>
        <w:t>How cash flow would be effected if the suppliers were paid at different times than under previous management</w:t>
      </w:r>
    </w:p>
    <w:p w:rsidR="000B62F5" w:rsidRDefault="000B62F5" w:rsidP="000B62F5">
      <w:pPr>
        <w:pStyle w:val="ListParagraph"/>
        <w:numPr>
          <w:ilvl w:val="1"/>
          <w:numId w:val="11"/>
        </w:numPr>
        <w:spacing w:after="160" w:line="360" w:lineRule="auto"/>
        <w:rPr>
          <w:rFonts w:ascii="Arial" w:hAnsi="Arial" w:cs="Arial"/>
          <w:sz w:val="24"/>
          <w:szCs w:val="24"/>
        </w:rPr>
      </w:pPr>
      <w:r>
        <w:rPr>
          <w:rFonts w:ascii="Arial" w:hAnsi="Arial" w:cs="Arial"/>
          <w:sz w:val="24"/>
          <w:szCs w:val="24"/>
        </w:rPr>
        <w:t>Increases to supplier prices with no price increase recognised on sales, causing an altered cash flow</w:t>
      </w:r>
    </w:p>
    <w:p w:rsidR="000B62F5" w:rsidRDefault="000B62F5" w:rsidP="000B62F5">
      <w:pPr>
        <w:pStyle w:val="ListParagraph"/>
        <w:numPr>
          <w:ilvl w:val="1"/>
          <w:numId w:val="11"/>
        </w:numPr>
        <w:spacing w:after="160" w:line="360" w:lineRule="auto"/>
        <w:rPr>
          <w:rFonts w:ascii="Arial" w:hAnsi="Arial" w:cs="Arial"/>
          <w:sz w:val="24"/>
          <w:szCs w:val="24"/>
        </w:rPr>
      </w:pPr>
      <w:r>
        <w:rPr>
          <w:rFonts w:ascii="Arial" w:hAnsi="Arial" w:cs="Arial"/>
          <w:sz w:val="24"/>
          <w:szCs w:val="24"/>
        </w:rPr>
        <w:t>Recording of cash expenses, Byron may have taken cash to spend on legitimate business expenses and not known how to record it</w:t>
      </w:r>
    </w:p>
    <w:p w:rsidR="000B62F5" w:rsidRDefault="000B62F5" w:rsidP="000B62F5">
      <w:pPr>
        <w:spacing w:line="360" w:lineRule="auto"/>
        <w:ind w:left="720"/>
        <w:rPr>
          <w:rFonts w:ascii="Arial" w:hAnsi="Arial" w:cs="Arial"/>
          <w:sz w:val="24"/>
          <w:szCs w:val="24"/>
        </w:rPr>
      </w:pPr>
      <w:r>
        <w:rPr>
          <w:rFonts w:ascii="Arial" w:hAnsi="Arial" w:cs="Arial"/>
          <w:sz w:val="24"/>
          <w:szCs w:val="24"/>
        </w:rPr>
        <w:lastRenderedPageBreak/>
        <w:t>It is unlikely the owner has considered Byron’s lack of understanding of a pubs cash flow requirements.</w:t>
      </w:r>
      <w:r w:rsidRPr="003F657A">
        <w:rPr>
          <w:rFonts w:ascii="Arial" w:hAnsi="Arial" w:cs="Arial"/>
          <w:sz w:val="24"/>
          <w:szCs w:val="24"/>
        </w:rPr>
        <w:t xml:space="preserve"> </w:t>
      </w:r>
    </w:p>
    <w:p w:rsidR="000B62F5" w:rsidRDefault="000B62F5" w:rsidP="000B62F5">
      <w:pPr>
        <w:spacing w:line="360" w:lineRule="auto"/>
        <w:ind w:left="720"/>
        <w:rPr>
          <w:rFonts w:ascii="Arial" w:hAnsi="Arial" w:cs="Arial"/>
          <w:sz w:val="24"/>
          <w:szCs w:val="24"/>
        </w:rPr>
      </w:pPr>
    </w:p>
    <w:p w:rsidR="000B62F5" w:rsidRDefault="000B62F5" w:rsidP="000B62F5">
      <w:pPr>
        <w:pStyle w:val="ListParagraph"/>
        <w:numPr>
          <w:ilvl w:val="0"/>
          <w:numId w:val="11"/>
        </w:numPr>
        <w:spacing w:after="160" w:line="360" w:lineRule="auto"/>
        <w:rPr>
          <w:rFonts w:ascii="Arial" w:hAnsi="Arial" w:cs="Arial"/>
          <w:sz w:val="24"/>
          <w:szCs w:val="24"/>
        </w:rPr>
      </w:pPr>
      <w:r>
        <w:rPr>
          <w:rFonts w:ascii="Arial" w:hAnsi="Arial" w:cs="Arial"/>
          <w:sz w:val="24"/>
          <w:szCs w:val="24"/>
        </w:rPr>
        <w:t>The shortfall could have been caused by increased levels of inventory, if Byron has higher stock than previously held on site. If payments to suppliers have been made quicker than under previous management then cash levels would be lower than previous levels. Sales levels may have decreased, Byron may have spent money on decorations or advertising to promote the new management, these reasons would have caused lower cash levels and Byron may not have understood how to record the expenses.</w:t>
      </w:r>
    </w:p>
    <w:p w:rsidR="000B62F5" w:rsidRPr="003F657A" w:rsidRDefault="000B62F5" w:rsidP="000B62F5">
      <w:pPr>
        <w:pStyle w:val="ListParagraph"/>
        <w:spacing w:line="360" w:lineRule="auto"/>
        <w:rPr>
          <w:rFonts w:ascii="Arial" w:hAnsi="Arial" w:cs="Arial"/>
          <w:sz w:val="24"/>
          <w:szCs w:val="24"/>
        </w:rPr>
      </w:pPr>
      <w:r>
        <w:rPr>
          <w:rFonts w:ascii="Arial" w:hAnsi="Arial" w:cs="Arial"/>
          <w:sz w:val="24"/>
          <w:szCs w:val="24"/>
        </w:rPr>
        <w:t>The problem could be at the bank, the cash could be processed slower than previously, especially if there has been a change such as the time the cash is banked e.g. at the end of the day. A reconciliation of the amounts banked, from the paying in book, against the bank statements should be carried out to determine how many days it is taking to clear. There could also have been a published change to the number of days the bank will take to clear the funds which the owner has not read.</w:t>
      </w:r>
    </w:p>
    <w:p w:rsidR="00A97AB6" w:rsidRDefault="00A97AB6" w:rsidP="00F10B12">
      <w:pPr>
        <w:spacing w:line="360" w:lineRule="auto"/>
        <w:jc w:val="both"/>
        <w:rPr>
          <w:rFonts w:cs="Bliss-Regular"/>
          <w:color w:val="000000"/>
          <w:lang w:val="en-US"/>
        </w:rPr>
      </w:pPr>
    </w:p>
    <w:p w:rsidR="00F10B12" w:rsidRDefault="00F10B12" w:rsidP="00A851DA">
      <w:pPr>
        <w:rPr>
          <w:rFonts w:cs="Bliss-Regular"/>
          <w:color w:val="000000"/>
          <w:lang w:val="en-US"/>
        </w:rPr>
      </w:pPr>
    </w:p>
    <w:p w:rsidR="000B62F5" w:rsidRDefault="000B62F5" w:rsidP="00A851DA">
      <w:pPr>
        <w:rPr>
          <w:rFonts w:cs="Bliss-Regular"/>
          <w:color w:val="000000"/>
          <w:lang w:val="en-US"/>
        </w:rPr>
      </w:pPr>
    </w:p>
    <w:p w:rsidR="000B62F5" w:rsidRDefault="000B62F5" w:rsidP="00A851DA">
      <w:pPr>
        <w:rPr>
          <w:rFonts w:cs="Bliss-Regular"/>
          <w:color w:val="000000"/>
          <w:lang w:val="en-US"/>
        </w:rPr>
      </w:pPr>
    </w:p>
    <w:p w:rsidR="000B62F5" w:rsidRDefault="000B62F5" w:rsidP="00A851DA">
      <w:pPr>
        <w:rPr>
          <w:rFonts w:cs="Bliss-Regular"/>
          <w:color w:val="000000"/>
          <w:lang w:val="en-US"/>
        </w:rPr>
      </w:pPr>
    </w:p>
    <w:p w:rsidR="000B62F5" w:rsidRDefault="000B62F5" w:rsidP="00A851DA">
      <w:pPr>
        <w:rPr>
          <w:rFonts w:cs="Bliss-Regular"/>
          <w:color w:val="000000"/>
          <w:lang w:val="en-US"/>
        </w:rPr>
      </w:pPr>
    </w:p>
    <w:p w:rsidR="000B62F5" w:rsidRDefault="000B62F5" w:rsidP="00A851DA">
      <w:pPr>
        <w:rPr>
          <w:rFonts w:cs="Bliss-Regular"/>
          <w:color w:val="000000"/>
          <w:lang w:val="en-US"/>
        </w:rPr>
      </w:pPr>
    </w:p>
    <w:p w:rsidR="000B62F5" w:rsidRDefault="000B62F5" w:rsidP="00A851DA">
      <w:pPr>
        <w:rPr>
          <w:rFonts w:cs="Bliss-Regular"/>
          <w:color w:val="000000"/>
          <w:lang w:val="en-US"/>
        </w:rPr>
      </w:pPr>
    </w:p>
    <w:p w:rsidR="000B62F5" w:rsidRDefault="000B62F5" w:rsidP="00A851DA">
      <w:pPr>
        <w:rPr>
          <w:rFonts w:cs="Bliss-Regular"/>
          <w:color w:val="000000"/>
          <w:lang w:val="en-US"/>
        </w:rPr>
      </w:pPr>
    </w:p>
    <w:p w:rsidR="000B62F5" w:rsidRDefault="000B62F5" w:rsidP="00A851DA">
      <w:pPr>
        <w:rPr>
          <w:rFonts w:cs="Bliss-Regular"/>
          <w:color w:val="000000"/>
          <w:lang w:val="en-US"/>
        </w:rPr>
      </w:pPr>
    </w:p>
    <w:p w:rsidR="000B62F5" w:rsidRDefault="000B62F5" w:rsidP="00A851DA">
      <w:pPr>
        <w:rPr>
          <w:rFonts w:cs="Bliss-Regular"/>
          <w:color w:val="000000"/>
          <w:lang w:val="en-US"/>
        </w:rPr>
      </w:pPr>
    </w:p>
    <w:p w:rsidR="000B62F5" w:rsidRPr="00B0415E" w:rsidRDefault="000B62F5"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8A4" w:rsidRDefault="008D28A4" w:rsidP="00CB4D0A">
      <w:pPr>
        <w:spacing w:after="0" w:line="240" w:lineRule="auto"/>
      </w:pPr>
      <w:r>
        <w:separator/>
      </w:r>
    </w:p>
  </w:endnote>
  <w:endnote w:type="continuationSeparator" w:id="0">
    <w:p w:rsidR="008D28A4" w:rsidRDefault="008D28A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8A4" w:rsidRDefault="008D28A4" w:rsidP="00CB4D0A">
      <w:pPr>
        <w:spacing w:after="0" w:line="240" w:lineRule="auto"/>
      </w:pPr>
      <w:r>
        <w:separator/>
      </w:r>
    </w:p>
  </w:footnote>
  <w:footnote w:type="continuationSeparator" w:id="0">
    <w:p w:rsidR="008D28A4" w:rsidRDefault="008D28A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69DC"/>
    <w:multiLevelType w:val="hybridMultilevel"/>
    <w:tmpl w:val="CE564B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8B6E16"/>
    <w:multiLevelType w:val="hybridMultilevel"/>
    <w:tmpl w:val="D194C48E"/>
    <w:lvl w:ilvl="0" w:tplc="CE86633A">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794507"/>
    <w:multiLevelType w:val="hybridMultilevel"/>
    <w:tmpl w:val="8E6A11FE"/>
    <w:lvl w:ilvl="0" w:tplc="2B50FEA4">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41E11E89"/>
    <w:multiLevelType w:val="hybridMultilevel"/>
    <w:tmpl w:val="2EE2F352"/>
    <w:lvl w:ilvl="0" w:tplc="D456A194">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42EC2879"/>
    <w:multiLevelType w:val="hybridMultilevel"/>
    <w:tmpl w:val="6AC0E87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9F40FC"/>
    <w:multiLevelType w:val="hybridMultilevel"/>
    <w:tmpl w:val="EA8E1192"/>
    <w:lvl w:ilvl="0" w:tplc="5DCA7FFC">
      <w:start w:val="1"/>
      <w:numFmt w:val="lowerRoman"/>
      <w:lvlText w:val="%1."/>
      <w:lvlJc w:val="left"/>
      <w:pPr>
        <w:ind w:left="720" w:hanging="720"/>
      </w:pPr>
      <w:rPr>
        <w:rFonts w:ascii="Arial" w:eastAsiaTheme="minorHAnsi" w:hAnsi="Arial" w:cs="Arial"/>
        <w:i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7" w15:restartNumberingAfterBreak="0">
    <w:nsid w:val="510E48A0"/>
    <w:multiLevelType w:val="hybridMultilevel"/>
    <w:tmpl w:val="FC561C6A"/>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8" w15:restartNumberingAfterBreak="0">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741B781C"/>
    <w:multiLevelType w:val="hybridMultilevel"/>
    <w:tmpl w:val="08ACF344"/>
    <w:lvl w:ilvl="0" w:tplc="1144E0A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7AB82D85"/>
    <w:multiLevelType w:val="hybridMultilevel"/>
    <w:tmpl w:val="876A5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8"/>
  </w:num>
  <w:num w:numId="3">
    <w:abstractNumId w:val="3"/>
  </w:num>
  <w:num w:numId="4">
    <w:abstractNumId w:val="10"/>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 w:numId="9">
    <w:abstractNumId w:val="9"/>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53B2"/>
    <w:rsid w:val="000B62F5"/>
    <w:rsid w:val="001175EE"/>
    <w:rsid w:val="00157CF6"/>
    <w:rsid w:val="00182416"/>
    <w:rsid w:val="00187EB4"/>
    <w:rsid w:val="001F0481"/>
    <w:rsid w:val="00200C92"/>
    <w:rsid w:val="0020451E"/>
    <w:rsid w:val="00206B9D"/>
    <w:rsid w:val="0023259C"/>
    <w:rsid w:val="00243A78"/>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3198"/>
    <w:rsid w:val="0070347F"/>
    <w:rsid w:val="0070678E"/>
    <w:rsid w:val="00831C11"/>
    <w:rsid w:val="008A60B4"/>
    <w:rsid w:val="008B03F1"/>
    <w:rsid w:val="008B3C31"/>
    <w:rsid w:val="008B64FE"/>
    <w:rsid w:val="008D28A4"/>
    <w:rsid w:val="00935BF7"/>
    <w:rsid w:val="00943A10"/>
    <w:rsid w:val="0095442C"/>
    <w:rsid w:val="00983942"/>
    <w:rsid w:val="009C37E0"/>
    <w:rsid w:val="009D7C5C"/>
    <w:rsid w:val="009E41F4"/>
    <w:rsid w:val="00A14B66"/>
    <w:rsid w:val="00A65CF7"/>
    <w:rsid w:val="00A81AB4"/>
    <w:rsid w:val="00A851DA"/>
    <w:rsid w:val="00A97AB6"/>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5FCD"/>
    <w:rsid w:val="00DB0793"/>
    <w:rsid w:val="00E00821"/>
    <w:rsid w:val="00E04DB4"/>
    <w:rsid w:val="00E30679"/>
    <w:rsid w:val="00E4597D"/>
    <w:rsid w:val="00E54832"/>
    <w:rsid w:val="00E56A90"/>
    <w:rsid w:val="00E641CC"/>
    <w:rsid w:val="00E90294"/>
    <w:rsid w:val="00EA30AB"/>
    <w:rsid w:val="00EB3925"/>
    <w:rsid w:val="00F10B1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FB826-236F-4A97-841D-20BAC11D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2524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CEC29-66A2-4CD4-A3D0-E1B76553A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 Banham</cp:lastModifiedBy>
  <cp:revision>4</cp:revision>
  <dcterms:created xsi:type="dcterms:W3CDTF">2015-12-15T19:52:00Z</dcterms:created>
  <dcterms:modified xsi:type="dcterms:W3CDTF">2015-12-16T10:14:00Z</dcterms:modified>
</cp:coreProperties>
</file>