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proofErr w:type="spellStart"/>
            <w:r>
              <w:rPr>
                <w:rFonts w:asciiTheme="minorHAnsi" w:hAnsiTheme="minorHAnsi"/>
              </w:rPr>
              <w:t>Babajide</w:t>
            </w:r>
            <w:proofErr w:type="spellEnd"/>
            <w:r>
              <w:rPr>
                <w:rFonts w:asciiTheme="minorHAnsi" w:hAnsiTheme="minorHAnsi"/>
              </w:rPr>
              <w:t xml:space="preserve"> </w:t>
            </w:r>
            <w:proofErr w:type="spellStart"/>
            <w:r>
              <w:rPr>
                <w:rFonts w:asciiTheme="minorHAnsi" w:hAnsiTheme="minorHAnsi"/>
              </w:rPr>
              <w:t>Okuneye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D80">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2C4D80" w:rsidRPr="00642976" w:rsidRDefault="002C019E" w:rsidP="002C4D80">
            <w:pPr>
              <w:autoSpaceDE w:val="0"/>
              <w:autoSpaceDN w:val="0"/>
              <w:adjustRightInd w:val="0"/>
              <w:rPr>
                <w:rFonts w:cs="Calibri"/>
                <w:color w:val="000000"/>
              </w:rPr>
            </w:pPr>
            <w:r w:rsidRPr="00091518">
              <w:rPr>
                <w:rFonts w:ascii="Arial" w:hAnsi="Arial" w:cs="Arial"/>
              </w:rPr>
              <w:t xml:space="preserve"> </w:t>
            </w:r>
            <w:r w:rsidR="002C4D80" w:rsidRPr="00642976">
              <w:rPr>
                <w:rFonts w:cs="Calibri,Bold"/>
                <w:b/>
                <w:bCs/>
                <w:color w:val="C00000"/>
              </w:rPr>
              <w:t xml:space="preserve">1. </w:t>
            </w:r>
            <w:r w:rsidR="002C4D80" w:rsidRPr="00642976">
              <w:rPr>
                <w:rFonts w:cs="Calibri"/>
                <w:color w:val="000000"/>
              </w:rPr>
              <w:t>Give short answers for the following questions: (20)</w:t>
            </w:r>
          </w:p>
          <w:p w:rsidR="002C4D80" w:rsidRPr="00642976" w:rsidRDefault="002C4D80" w:rsidP="002C4D80">
            <w:pPr>
              <w:autoSpaceDE w:val="0"/>
              <w:autoSpaceDN w:val="0"/>
              <w:adjustRightInd w:val="0"/>
              <w:rPr>
                <w:rFonts w:cs="Calibri"/>
                <w:b/>
                <w:color w:val="000000"/>
              </w:rPr>
            </w:pPr>
            <w:proofErr w:type="spellStart"/>
            <w:r w:rsidRPr="00642976">
              <w:rPr>
                <w:rFonts w:cs="Calibri"/>
                <w:color w:val="000000"/>
              </w:rPr>
              <w:t>i</w:t>
            </w:r>
            <w:proofErr w:type="spellEnd"/>
            <w:r w:rsidRPr="00642976">
              <w:rPr>
                <w:rFonts w:cs="Calibri"/>
                <w:color w:val="000000"/>
              </w:rPr>
              <w:t>. What are non - financial sources for evidence?</w:t>
            </w:r>
            <w:r w:rsidRPr="00642976">
              <w:rPr>
                <w:rFonts w:cs="Calibri"/>
                <w:b/>
                <w:color w:val="000000"/>
              </w:rPr>
              <w:t xml:space="preserve"> These range from interviews, handwriting analysis and document examination to the psychological traits of the fraudster. Psychological traits refer to the fraudster’s behavior, expressions or any communication that indicates the fraudster’s involvement in the crime.</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color w:val="000000"/>
              </w:rPr>
            </w:pPr>
            <w:r w:rsidRPr="00642976">
              <w:rPr>
                <w:rFonts w:cs="Calibri"/>
                <w:color w:val="000000"/>
              </w:rPr>
              <w:t xml:space="preserve">ii. What is the importance of body language in the interviewing procedure? </w:t>
            </w:r>
            <w:r w:rsidRPr="00642976">
              <w:rPr>
                <w:rFonts w:cs="Calibri"/>
                <w:b/>
                <w:color w:val="000000"/>
              </w:rPr>
              <w:t>Body language is important because the best clues usually don’t come from books but from the people who work with them (as stated by Joe Wells). Humans tend to reveal much more through body language than words especially when under stress.</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color w:val="000000"/>
              </w:rPr>
            </w:pPr>
            <w:r w:rsidRPr="00642976">
              <w:rPr>
                <w:rFonts w:cs="Calibri"/>
                <w:color w:val="000000"/>
              </w:rPr>
              <w:t>iii. How is the SCAN Analysis used as an investigative technique?</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b/>
                <w:color w:val="000000"/>
              </w:rPr>
            </w:pPr>
            <w:r w:rsidRPr="00642976">
              <w:rPr>
                <w:rFonts w:cs="Calibri"/>
                <w:b/>
                <w:color w:val="000000"/>
              </w:rPr>
              <w:t>SCAN is aimed at detecting deception rather than determining truthfulness. It is used by asking for unambiguous truthful statements from the Suspect, for a base comparison and to be effective. It looks for a shift in pronouns and gaps in the narrative, which indicate deception. Watching out for when the Suspect Feigns ignorance as per the subject matter is also used in SCAN.</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color w:val="000000"/>
              </w:rPr>
            </w:pPr>
            <w:r w:rsidRPr="00642976">
              <w:rPr>
                <w:rFonts w:cs="Calibri"/>
                <w:color w:val="000000"/>
              </w:rPr>
              <w:t>iv. What are visual assessing cues? How do eyes of the victim help the interviewer?</w:t>
            </w:r>
          </w:p>
          <w:p w:rsidR="002C4D80" w:rsidRPr="00642976" w:rsidRDefault="002C4D80" w:rsidP="002C4D80">
            <w:pPr>
              <w:autoSpaceDE w:val="0"/>
              <w:autoSpaceDN w:val="0"/>
              <w:adjustRightInd w:val="0"/>
              <w:rPr>
                <w:rFonts w:cs="Calibri"/>
                <w:color w:val="000000"/>
              </w:rPr>
            </w:pPr>
            <w:r w:rsidRPr="00642976">
              <w:rPr>
                <w:rFonts w:cs="Calibri"/>
                <w:b/>
                <w:color w:val="000000"/>
              </w:rPr>
              <w:t>Visual</w:t>
            </w:r>
            <w:r w:rsidRPr="00642976">
              <w:rPr>
                <w:rFonts w:cs="Calibri"/>
                <w:color w:val="000000"/>
              </w:rPr>
              <w:t xml:space="preserve"> </w:t>
            </w:r>
            <w:r w:rsidRPr="00642976">
              <w:rPr>
                <w:rFonts w:cs="Calibri"/>
                <w:b/>
                <w:color w:val="000000"/>
              </w:rPr>
              <w:t>assessing cues refer to the language of the eyes and the principles related to it. Eye movement Cues and Interpretations area only applicable to right – handed people, the knowledge of the person’s hand use, will guide the application (or not) of the Eye Language Technique</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b/>
                <w:color w:val="000000"/>
              </w:rPr>
            </w:pPr>
            <w:r w:rsidRPr="00642976">
              <w:rPr>
                <w:rFonts w:cs="Calibri"/>
                <w:b/>
                <w:color w:val="000000"/>
              </w:rPr>
              <w:t xml:space="preserve">The eyes of the victim help the interviewer, when the victim is responding to various questions. For example : Eyes to the left and up – means the victim is recalling the past in Visual Images, </w:t>
            </w:r>
            <w:r w:rsidRPr="00642976">
              <w:rPr>
                <w:rFonts w:cs="Calibri"/>
                <w:b/>
                <w:color w:val="000000"/>
              </w:rPr>
              <w:lastRenderedPageBreak/>
              <w:t xml:space="preserve">while Eyes to the right and down – are associated with </w:t>
            </w:r>
            <w:proofErr w:type="spellStart"/>
            <w:r w:rsidRPr="00642976">
              <w:rPr>
                <w:rFonts w:cs="Calibri"/>
                <w:b/>
                <w:color w:val="000000"/>
              </w:rPr>
              <w:t>kinaesthetic</w:t>
            </w:r>
            <w:proofErr w:type="spellEnd"/>
            <w:r w:rsidRPr="00642976">
              <w:rPr>
                <w:rFonts w:cs="Calibri"/>
                <w:b/>
                <w:color w:val="000000"/>
              </w:rPr>
              <w:t xml:space="preserve"> or feelings.</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color w:val="000000"/>
              </w:rPr>
            </w:pPr>
            <w:r w:rsidRPr="00642976">
              <w:rPr>
                <w:rFonts w:cs="Calibri"/>
                <w:color w:val="000000"/>
              </w:rPr>
              <w:t>v. In addition to body language, there are other cues which help to identify lies.’</w:t>
            </w:r>
          </w:p>
          <w:p w:rsidR="002C4D80" w:rsidRPr="00642976" w:rsidRDefault="002C4D80" w:rsidP="002C4D80">
            <w:pPr>
              <w:autoSpaceDE w:val="0"/>
              <w:autoSpaceDN w:val="0"/>
              <w:adjustRightInd w:val="0"/>
              <w:rPr>
                <w:rFonts w:cs="Calibri"/>
                <w:color w:val="000000"/>
              </w:rPr>
            </w:pPr>
            <w:r w:rsidRPr="00642976">
              <w:rPr>
                <w:rFonts w:cs="Calibri"/>
                <w:color w:val="000000"/>
              </w:rPr>
              <w:t>What are these?</w:t>
            </w:r>
          </w:p>
          <w:p w:rsidR="002C4D80" w:rsidRPr="00642976" w:rsidRDefault="002C4D80" w:rsidP="002C4D80">
            <w:pPr>
              <w:autoSpaceDE w:val="0"/>
              <w:autoSpaceDN w:val="0"/>
              <w:adjustRightInd w:val="0"/>
              <w:rPr>
                <w:rFonts w:cs="Calibri"/>
                <w:b/>
                <w:color w:val="000000"/>
              </w:rPr>
            </w:pPr>
            <w:r w:rsidRPr="00642976">
              <w:rPr>
                <w:rFonts w:cs="Calibri"/>
                <w:b/>
                <w:color w:val="000000"/>
              </w:rPr>
              <w:t>Deception Cues: these include</w:t>
            </w:r>
          </w:p>
          <w:p w:rsidR="002C4D80" w:rsidRPr="00642976" w:rsidRDefault="002C4D80" w:rsidP="002C4D80">
            <w:pPr>
              <w:pStyle w:val="ListParagraph"/>
              <w:numPr>
                <w:ilvl w:val="0"/>
                <w:numId w:val="25"/>
              </w:numPr>
              <w:autoSpaceDE w:val="0"/>
              <w:autoSpaceDN w:val="0"/>
              <w:adjustRightInd w:val="0"/>
              <w:rPr>
                <w:rFonts w:asciiTheme="minorHAnsi" w:hAnsiTheme="minorHAnsi" w:cs="Calibri"/>
                <w:b/>
                <w:color w:val="000000"/>
              </w:rPr>
            </w:pPr>
            <w:r w:rsidRPr="00642976">
              <w:rPr>
                <w:rFonts w:asciiTheme="minorHAnsi" w:hAnsiTheme="minorHAnsi" w:cs="Calibri"/>
                <w:b/>
                <w:color w:val="000000"/>
              </w:rPr>
              <w:t>Interpersonal interactions</w:t>
            </w:r>
          </w:p>
          <w:p w:rsidR="002C4D80" w:rsidRPr="00642976" w:rsidRDefault="002C4D80" w:rsidP="002C4D80">
            <w:pPr>
              <w:pStyle w:val="ListParagraph"/>
              <w:numPr>
                <w:ilvl w:val="0"/>
                <w:numId w:val="25"/>
              </w:numPr>
              <w:autoSpaceDE w:val="0"/>
              <w:autoSpaceDN w:val="0"/>
              <w:adjustRightInd w:val="0"/>
              <w:rPr>
                <w:rFonts w:asciiTheme="minorHAnsi" w:hAnsiTheme="minorHAnsi" w:cs="Calibri"/>
                <w:b/>
                <w:color w:val="000000"/>
              </w:rPr>
            </w:pPr>
            <w:r w:rsidRPr="00642976">
              <w:rPr>
                <w:rFonts w:asciiTheme="minorHAnsi" w:hAnsiTheme="minorHAnsi" w:cs="Calibri"/>
                <w:b/>
                <w:color w:val="000000"/>
              </w:rPr>
              <w:t>Emotional sates</w:t>
            </w:r>
          </w:p>
          <w:p w:rsidR="002C4D80" w:rsidRPr="00642976" w:rsidRDefault="002C4D80" w:rsidP="002C4D80">
            <w:pPr>
              <w:pStyle w:val="ListParagraph"/>
              <w:numPr>
                <w:ilvl w:val="0"/>
                <w:numId w:val="25"/>
              </w:numPr>
              <w:autoSpaceDE w:val="0"/>
              <w:autoSpaceDN w:val="0"/>
              <w:adjustRightInd w:val="0"/>
              <w:rPr>
                <w:rFonts w:asciiTheme="minorHAnsi" w:hAnsiTheme="minorHAnsi" w:cs="Calibri"/>
                <w:b/>
                <w:color w:val="000000"/>
              </w:rPr>
            </w:pPr>
            <w:r w:rsidRPr="00642976">
              <w:rPr>
                <w:rFonts w:asciiTheme="minorHAnsi" w:hAnsiTheme="minorHAnsi" w:cs="Calibri"/>
                <w:b/>
                <w:color w:val="000000"/>
              </w:rPr>
              <w:t>Verbal content</w:t>
            </w:r>
          </w:p>
          <w:p w:rsidR="002C4D80" w:rsidRPr="00642976" w:rsidRDefault="002C4D80" w:rsidP="002C4D80">
            <w:pPr>
              <w:pStyle w:val="ListParagraph"/>
              <w:numPr>
                <w:ilvl w:val="0"/>
                <w:numId w:val="25"/>
              </w:numPr>
              <w:autoSpaceDE w:val="0"/>
              <w:autoSpaceDN w:val="0"/>
              <w:adjustRightInd w:val="0"/>
              <w:rPr>
                <w:rFonts w:asciiTheme="minorHAnsi" w:hAnsiTheme="minorHAnsi" w:cs="Calibri"/>
                <w:b/>
                <w:color w:val="000000"/>
              </w:rPr>
            </w:pPr>
            <w:r w:rsidRPr="00642976">
              <w:rPr>
                <w:rFonts w:asciiTheme="minorHAnsi" w:hAnsiTheme="minorHAnsi" w:cs="Calibri"/>
                <w:b/>
                <w:color w:val="000000"/>
              </w:rPr>
              <w:t>The phrasing of Comments</w:t>
            </w:r>
          </w:p>
          <w:p w:rsidR="002C4D80" w:rsidRPr="00642976" w:rsidRDefault="002C4D80" w:rsidP="002C4D80">
            <w:pPr>
              <w:pStyle w:val="ListParagraph"/>
              <w:numPr>
                <w:ilvl w:val="0"/>
                <w:numId w:val="25"/>
              </w:numPr>
              <w:autoSpaceDE w:val="0"/>
              <w:autoSpaceDN w:val="0"/>
              <w:adjustRightInd w:val="0"/>
              <w:rPr>
                <w:rFonts w:asciiTheme="minorHAnsi" w:hAnsiTheme="minorHAnsi" w:cs="Calibri"/>
                <w:b/>
                <w:color w:val="000000"/>
              </w:rPr>
            </w:pPr>
            <w:r w:rsidRPr="00642976">
              <w:rPr>
                <w:rFonts w:asciiTheme="minorHAnsi" w:hAnsiTheme="minorHAnsi" w:cs="Calibri"/>
                <w:b/>
                <w:color w:val="000000"/>
              </w:rPr>
              <w:t>Psychological Frames</w:t>
            </w:r>
          </w:p>
          <w:p w:rsidR="002C4D80" w:rsidRPr="00642976" w:rsidRDefault="002C4D80" w:rsidP="002C4D80">
            <w:pPr>
              <w:autoSpaceDE w:val="0"/>
              <w:autoSpaceDN w:val="0"/>
              <w:adjustRightInd w:val="0"/>
              <w:rPr>
                <w:rFonts w:cs="Calibri"/>
                <w:b/>
                <w:color w:val="000000"/>
              </w:rPr>
            </w:pPr>
          </w:p>
          <w:p w:rsidR="002C4D80" w:rsidRPr="00642976" w:rsidRDefault="002C4D80" w:rsidP="002C4D80">
            <w:pPr>
              <w:autoSpaceDE w:val="0"/>
              <w:autoSpaceDN w:val="0"/>
              <w:adjustRightInd w:val="0"/>
              <w:rPr>
                <w:rFonts w:cs="Calibri"/>
                <w:b/>
                <w:color w:val="000000"/>
              </w:rPr>
            </w:pPr>
            <w:r w:rsidRPr="00642976">
              <w:rPr>
                <w:rFonts w:cs="Calibri"/>
                <w:b/>
                <w:color w:val="000000"/>
              </w:rPr>
              <w:t>Eye Language: this is a more reliable indicator of truthfulness, being that the eyes are the most communicative part of the human body. For example – gazing downward, could indicate guilt, defeat or submission, while also, dilating of pupils indicates interest in something.</w:t>
            </w:r>
          </w:p>
          <w:p w:rsidR="002C4D80" w:rsidRPr="00642976" w:rsidRDefault="002C4D80" w:rsidP="002C4D80">
            <w:pPr>
              <w:autoSpaceDE w:val="0"/>
              <w:autoSpaceDN w:val="0"/>
              <w:adjustRightInd w:val="0"/>
              <w:rPr>
                <w:rFonts w:cs="Calibri"/>
                <w:color w:val="000000"/>
              </w:rPr>
            </w:pPr>
          </w:p>
          <w:p w:rsidR="002C4D80" w:rsidRPr="00642976" w:rsidRDefault="002C4D80" w:rsidP="002C4D80">
            <w:pPr>
              <w:autoSpaceDE w:val="0"/>
              <w:autoSpaceDN w:val="0"/>
              <w:adjustRightInd w:val="0"/>
              <w:rPr>
                <w:rFonts w:cs="Calibri"/>
                <w:color w:val="000000"/>
              </w:rPr>
            </w:pPr>
            <w:r w:rsidRPr="00642976">
              <w:rPr>
                <w:rFonts w:cs="Calibri,Bold"/>
                <w:b/>
                <w:bCs/>
                <w:color w:val="C00000"/>
              </w:rPr>
              <w:t xml:space="preserve">2. </w:t>
            </w:r>
            <w:r w:rsidRPr="00642976">
              <w:rPr>
                <w:rFonts w:cs="Calibri"/>
                <w:color w:val="000000"/>
              </w:rPr>
              <w:t>‘Asking questions in an audit is different from asking questions in fraud investigation.’</w:t>
            </w:r>
          </w:p>
          <w:p w:rsidR="002C4D80" w:rsidRPr="00642976" w:rsidRDefault="002C4D80" w:rsidP="002C4D80">
            <w:pPr>
              <w:autoSpaceDE w:val="0"/>
              <w:autoSpaceDN w:val="0"/>
              <w:adjustRightInd w:val="0"/>
              <w:rPr>
                <w:rFonts w:cs="Calibri"/>
                <w:color w:val="000000"/>
              </w:rPr>
            </w:pPr>
            <w:r w:rsidRPr="00642976">
              <w:rPr>
                <w:rFonts w:cs="Calibri"/>
                <w:color w:val="000000"/>
              </w:rPr>
              <w:t>Discuss this. (5)</w:t>
            </w:r>
          </w:p>
          <w:p w:rsidR="002C4D80" w:rsidRPr="00642976" w:rsidRDefault="002C4D80" w:rsidP="002C4D80">
            <w:pPr>
              <w:autoSpaceDE w:val="0"/>
              <w:autoSpaceDN w:val="0"/>
              <w:adjustRightInd w:val="0"/>
              <w:rPr>
                <w:rFonts w:cs="Calibri"/>
                <w:b/>
                <w:color w:val="000000"/>
              </w:rPr>
            </w:pPr>
            <w:r w:rsidRPr="00642976">
              <w:rPr>
                <w:rFonts w:cs="Calibri"/>
                <w:b/>
                <w:color w:val="000000"/>
              </w:rPr>
              <w:t xml:space="preserve">Basically, the goals of each investigation is different, while the Audit sets out to prove the material correctness of the financial statement, Fraud investigation has the goal of uncovering fraudulent activity (if any). The questions asked during an Audit are geared towards getting an opinion as to the material correctness of the financial </w:t>
            </w:r>
            <w:proofErr w:type="gramStart"/>
            <w:r w:rsidRPr="00642976">
              <w:rPr>
                <w:rFonts w:cs="Calibri"/>
                <w:b/>
                <w:color w:val="000000"/>
              </w:rPr>
              <w:t>statement,</w:t>
            </w:r>
            <w:proofErr w:type="gramEnd"/>
            <w:r w:rsidRPr="00642976">
              <w:rPr>
                <w:rFonts w:cs="Calibri"/>
                <w:b/>
                <w:color w:val="000000"/>
              </w:rPr>
              <w:t xml:space="preserve"> no opinion is expressed if any financial improprieties or fraudulent activity was detected. While questions asked during a Fraud investigation are generally geared towards discovering the fraud that exists after a fraud allegation has been made.</w:t>
            </w:r>
          </w:p>
          <w:p w:rsidR="002C4D80" w:rsidRPr="00642976" w:rsidRDefault="002C4D80" w:rsidP="002C4D80">
            <w:pPr>
              <w:autoSpaceDE w:val="0"/>
              <w:autoSpaceDN w:val="0"/>
              <w:adjustRightInd w:val="0"/>
              <w:rPr>
                <w:rFonts w:cs="Calibri"/>
                <w:b/>
                <w:color w:val="000000"/>
              </w:rPr>
            </w:pPr>
          </w:p>
          <w:p w:rsidR="002C4D80" w:rsidRPr="00642976" w:rsidRDefault="002C4D80" w:rsidP="002C4D80">
            <w:pPr>
              <w:rPr>
                <w:rFonts w:cs="Calibri"/>
                <w:color w:val="000000"/>
              </w:rPr>
            </w:pPr>
            <w:r w:rsidRPr="00642976">
              <w:rPr>
                <w:rFonts w:cs="Calibri,Bold"/>
                <w:b/>
                <w:bCs/>
                <w:color w:val="C00000"/>
              </w:rPr>
              <w:t xml:space="preserve">3. </w:t>
            </w:r>
            <w:r w:rsidRPr="00642976">
              <w:rPr>
                <w:rFonts w:cs="Calibri"/>
                <w:color w:val="000000"/>
              </w:rPr>
              <w:t>Discuss the interviewing procedure for a financially sophisticated victim</w:t>
            </w:r>
          </w:p>
          <w:p w:rsidR="002C4D80" w:rsidRPr="00642976" w:rsidRDefault="002C4D80" w:rsidP="002C4D80">
            <w:pPr>
              <w:rPr>
                <w:rFonts w:cs="Calibri"/>
                <w:b/>
                <w:color w:val="000000"/>
              </w:rPr>
            </w:pPr>
            <w:r w:rsidRPr="00642976">
              <w:rPr>
                <w:rFonts w:cs="Calibri"/>
                <w:b/>
                <w:color w:val="000000"/>
              </w:rPr>
              <w:t>The following should be first considered for this interview</w:t>
            </w:r>
          </w:p>
          <w:p w:rsidR="002C4D80" w:rsidRPr="00642976" w:rsidRDefault="002C4D80" w:rsidP="002C4D80">
            <w:pPr>
              <w:pStyle w:val="ListParagraph"/>
              <w:numPr>
                <w:ilvl w:val="0"/>
                <w:numId w:val="26"/>
              </w:numPr>
              <w:rPr>
                <w:rFonts w:asciiTheme="minorHAnsi" w:hAnsiTheme="minorHAnsi" w:cs="Calibri"/>
                <w:b/>
                <w:color w:val="000000"/>
              </w:rPr>
            </w:pPr>
            <w:r w:rsidRPr="00642976">
              <w:rPr>
                <w:rFonts w:asciiTheme="minorHAnsi" w:hAnsiTheme="minorHAnsi" w:cs="Calibri"/>
                <w:b/>
                <w:color w:val="000000"/>
              </w:rPr>
              <w:t xml:space="preserve">People to be interviewed – (former employees/colleagues, former partners, current employees/colleagues, current partners, the victim, </w:t>
            </w:r>
            <w:proofErr w:type="spellStart"/>
            <w:r w:rsidRPr="00642976">
              <w:rPr>
                <w:rFonts w:asciiTheme="minorHAnsi" w:hAnsiTheme="minorHAnsi" w:cs="Calibri"/>
                <w:b/>
                <w:color w:val="000000"/>
              </w:rPr>
              <w:t>etc</w:t>
            </w:r>
            <w:proofErr w:type="spellEnd"/>
            <w:r w:rsidRPr="00642976">
              <w:rPr>
                <w:rFonts w:asciiTheme="minorHAnsi" w:hAnsiTheme="minorHAnsi" w:cs="Calibri"/>
                <w:b/>
                <w:color w:val="000000"/>
              </w:rPr>
              <w:t>)</w:t>
            </w:r>
          </w:p>
          <w:p w:rsidR="002C4D80" w:rsidRPr="00642976" w:rsidRDefault="002C4D80" w:rsidP="002C4D80">
            <w:pPr>
              <w:pStyle w:val="ListParagraph"/>
              <w:numPr>
                <w:ilvl w:val="0"/>
                <w:numId w:val="26"/>
              </w:numPr>
              <w:rPr>
                <w:rFonts w:asciiTheme="minorHAnsi" w:hAnsiTheme="minorHAnsi" w:cs="Calibri"/>
                <w:b/>
                <w:color w:val="000000"/>
              </w:rPr>
            </w:pPr>
            <w:r w:rsidRPr="00642976">
              <w:rPr>
                <w:rFonts w:asciiTheme="minorHAnsi" w:hAnsiTheme="minorHAnsi" w:cs="Calibri"/>
                <w:b/>
                <w:color w:val="000000"/>
              </w:rPr>
              <w:t xml:space="preserve">The interview method to be used – Cognitive Interview method, </w:t>
            </w:r>
            <w:proofErr w:type="spellStart"/>
            <w:r w:rsidRPr="00642976">
              <w:rPr>
                <w:rFonts w:asciiTheme="minorHAnsi" w:hAnsiTheme="minorHAnsi" w:cs="Calibri"/>
                <w:b/>
                <w:color w:val="000000"/>
              </w:rPr>
              <w:t>NeuroLinguistic</w:t>
            </w:r>
            <w:proofErr w:type="spellEnd"/>
            <w:r w:rsidRPr="00642976">
              <w:rPr>
                <w:rFonts w:asciiTheme="minorHAnsi" w:hAnsiTheme="minorHAnsi" w:cs="Calibri"/>
                <w:b/>
                <w:color w:val="000000"/>
              </w:rPr>
              <w:t xml:space="preserve"> Programming, </w:t>
            </w:r>
            <w:proofErr w:type="spellStart"/>
            <w:r w:rsidRPr="00642976">
              <w:rPr>
                <w:rFonts w:asciiTheme="minorHAnsi" w:hAnsiTheme="minorHAnsi" w:cs="Calibri"/>
                <w:b/>
                <w:color w:val="000000"/>
              </w:rPr>
              <w:t>Kinesic</w:t>
            </w:r>
            <w:proofErr w:type="spellEnd"/>
            <w:r w:rsidRPr="00642976">
              <w:rPr>
                <w:rFonts w:asciiTheme="minorHAnsi" w:hAnsiTheme="minorHAnsi" w:cs="Calibri"/>
                <w:b/>
                <w:color w:val="000000"/>
              </w:rPr>
              <w:t xml:space="preserve"> Mirroring, Language matching, Paralanguage matching, </w:t>
            </w:r>
            <w:proofErr w:type="spellStart"/>
            <w:r w:rsidRPr="00642976">
              <w:rPr>
                <w:rFonts w:asciiTheme="minorHAnsi" w:hAnsiTheme="minorHAnsi" w:cs="Calibri"/>
                <w:b/>
                <w:color w:val="000000"/>
              </w:rPr>
              <w:t>etc</w:t>
            </w:r>
            <w:proofErr w:type="spellEnd"/>
          </w:p>
          <w:p w:rsidR="002C4D80" w:rsidRPr="00642976" w:rsidRDefault="002C4D80" w:rsidP="002C4D80">
            <w:pPr>
              <w:pStyle w:val="ListParagraph"/>
              <w:numPr>
                <w:ilvl w:val="0"/>
                <w:numId w:val="26"/>
              </w:numPr>
              <w:rPr>
                <w:rFonts w:asciiTheme="minorHAnsi" w:hAnsiTheme="minorHAnsi" w:cs="Calibri"/>
                <w:b/>
                <w:color w:val="000000"/>
              </w:rPr>
            </w:pPr>
            <w:r w:rsidRPr="00642976">
              <w:rPr>
                <w:rFonts w:asciiTheme="minorHAnsi" w:hAnsiTheme="minorHAnsi" w:cs="Calibri"/>
                <w:b/>
                <w:color w:val="000000"/>
              </w:rPr>
              <w:t xml:space="preserve">Know the specific Language that the financial witness speaks (accounting, SEC – speak, </w:t>
            </w:r>
            <w:proofErr w:type="spellStart"/>
            <w:r w:rsidRPr="00642976">
              <w:rPr>
                <w:rFonts w:asciiTheme="minorHAnsi" w:hAnsiTheme="minorHAnsi" w:cs="Calibri"/>
                <w:b/>
                <w:color w:val="000000"/>
              </w:rPr>
              <w:t>etc</w:t>
            </w:r>
            <w:proofErr w:type="spellEnd"/>
            <w:r w:rsidRPr="00642976">
              <w:rPr>
                <w:rFonts w:asciiTheme="minorHAnsi" w:hAnsiTheme="minorHAnsi" w:cs="Calibri"/>
                <w:b/>
                <w:color w:val="000000"/>
              </w:rPr>
              <w:t>)</w:t>
            </w:r>
          </w:p>
          <w:p w:rsidR="002C4D80" w:rsidRPr="00642976" w:rsidRDefault="002C4D80" w:rsidP="002C4D80">
            <w:pPr>
              <w:pStyle w:val="ListParagraph"/>
              <w:numPr>
                <w:ilvl w:val="0"/>
                <w:numId w:val="26"/>
              </w:numPr>
              <w:rPr>
                <w:rFonts w:asciiTheme="minorHAnsi" w:hAnsiTheme="minorHAnsi" w:cs="Calibri"/>
                <w:b/>
                <w:color w:val="000000"/>
              </w:rPr>
            </w:pPr>
            <w:r w:rsidRPr="00642976">
              <w:rPr>
                <w:rFonts w:asciiTheme="minorHAnsi" w:hAnsiTheme="minorHAnsi" w:cs="Calibri"/>
                <w:b/>
                <w:color w:val="000000"/>
              </w:rPr>
              <w:t>Collect the documents  the witness will likely testify about</w:t>
            </w:r>
          </w:p>
          <w:p w:rsidR="002C4D80" w:rsidRPr="00642976" w:rsidRDefault="002C4D80" w:rsidP="002C4D80">
            <w:pPr>
              <w:ind w:left="360"/>
              <w:rPr>
                <w:rFonts w:cs="Calibri"/>
                <w:b/>
                <w:color w:val="000000"/>
              </w:rPr>
            </w:pPr>
            <w:r w:rsidRPr="00642976">
              <w:rPr>
                <w:rFonts w:cs="Calibri"/>
                <w:b/>
                <w:color w:val="000000"/>
              </w:rPr>
              <w:t>When all these data have been collected and processed, the next step is the actual interview of the Victim, the process is for the interviewer to choose the right interview method to be used between him and the witness (one that relaxes the victim and allows him to discuss freely…). By applying any of the above stated techniques, there is an increase in a chance of building a better rapport with the victim and also aid the recall of witnesses in financial crimes.</w:t>
            </w:r>
          </w:p>
          <w:p w:rsidR="002C4D80" w:rsidRPr="00642976" w:rsidRDefault="002C4D80" w:rsidP="002C4D80">
            <w:pPr>
              <w:ind w:left="360"/>
              <w:rPr>
                <w:rFonts w:cs="Calibri"/>
                <w:b/>
                <w:color w:val="000000"/>
              </w:rPr>
            </w:pPr>
            <w:r w:rsidRPr="00642976">
              <w:rPr>
                <w:rFonts w:cs="Calibri"/>
                <w:b/>
                <w:color w:val="000000"/>
              </w:rPr>
              <w:t>Secondly, proper preparation is the key to properly and effectively interviewing a financially knowledgeable witness.</w:t>
            </w:r>
          </w:p>
          <w:p w:rsidR="002C4D80" w:rsidRPr="00642976" w:rsidRDefault="002C4D80" w:rsidP="002C4D80">
            <w:pPr>
              <w:rPr>
                <w:rFonts w:cs="Calibri"/>
                <w:color w:val="000000"/>
              </w:rPr>
            </w:pPr>
          </w:p>
          <w:p w:rsidR="002C4D80" w:rsidRPr="00642976" w:rsidRDefault="002C4D80" w:rsidP="002C4D80"/>
          <w:p w:rsidR="004014F6" w:rsidRPr="002C4D80" w:rsidRDefault="004014F6" w:rsidP="002C4D80">
            <w:pPr>
              <w:autoSpaceDE w:val="0"/>
              <w:autoSpaceDN w:val="0"/>
              <w:adjustRightInd w:val="0"/>
              <w:rPr>
                <w:b/>
              </w:rPr>
            </w:pPr>
          </w:p>
          <w:p w:rsidR="00B839BA" w:rsidRPr="00F16020" w:rsidRDefault="00B839BA" w:rsidP="004014F6">
            <w:pPr>
              <w:autoSpaceDE w:val="0"/>
              <w:autoSpaceDN w:val="0"/>
              <w:adjustRightInd w:val="0"/>
              <w:jc w:val="both"/>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proofErr w:type="spellStart"/>
            <w:r>
              <w:rPr>
                <w:rFonts w:cs="Bliss-Regular"/>
                <w:color w:val="000000"/>
              </w:rPr>
              <w:t>Babajide</w:t>
            </w:r>
            <w:proofErr w:type="spellEnd"/>
            <w:r>
              <w:rPr>
                <w:rFonts w:cs="Bliss-Regular"/>
                <w:color w:val="000000"/>
              </w:rPr>
              <w:t xml:space="preserve"> </w:t>
            </w:r>
            <w:proofErr w:type="spellStart"/>
            <w:r>
              <w:rPr>
                <w:rFonts w:cs="Bliss-Regular"/>
                <w:color w:val="000000"/>
              </w:rPr>
              <w:t>Okuneye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6290" w:rsidP="004014F6">
            <w:pPr>
              <w:rPr>
                <w:rFonts w:cs="Bliss-Regular"/>
                <w:color w:val="000000"/>
              </w:rPr>
            </w:pPr>
            <w:r>
              <w:rPr>
                <w:rFonts w:cs="Bliss-Regular"/>
                <w:color w:val="000000"/>
              </w:rPr>
              <w:t>25/2/16</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237" w:rsidRDefault="00166237" w:rsidP="00CB4D0A">
      <w:pPr>
        <w:spacing w:after="0" w:line="240" w:lineRule="auto"/>
      </w:pPr>
      <w:r>
        <w:separator/>
      </w:r>
    </w:p>
  </w:endnote>
  <w:endnote w:type="continuationSeparator" w:id="0">
    <w:p w:rsidR="00166237" w:rsidRDefault="001662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237" w:rsidRDefault="00166237" w:rsidP="00CB4D0A">
      <w:pPr>
        <w:spacing w:after="0" w:line="240" w:lineRule="auto"/>
      </w:pPr>
      <w:r>
        <w:separator/>
      </w:r>
    </w:p>
  </w:footnote>
  <w:footnote w:type="continuationSeparator" w:id="0">
    <w:p w:rsidR="00166237" w:rsidRDefault="001662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E2A7B"/>
    <w:multiLevelType w:val="hybridMultilevel"/>
    <w:tmpl w:val="B8728DA6"/>
    <w:lvl w:ilvl="0" w:tplc="8D3CC93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60919"/>
    <w:multiLevelType w:val="hybridMultilevel"/>
    <w:tmpl w:val="662A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03792D"/>
    <w:multiLevelType w:val="hybridMultilevel"/>
    <w:tmpl w:val="26725626"/>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78778D3"/>
    <w:multiLevelType w:val="hybridMultilevel"/>
    <w:tmpl w:val="26BEA8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1">
    <w:nsid w:val="431D04BE"/>
    <w:multiLevelType w:val="hybridMultilevel"/>
    <w:tmpl w:val="B8EA736C"/>
    <w:lvl w:ilvl="0" w:tplc="E23258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7E6D0B"/>
    <w:multiLevelType w:val="hybridMultilevel"/>
    <w:tmpl w:val="1786DD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8B69DA"/>
    <w:multiLevelType w:val="hybridMultilevel"/>
    <w:tmpl w:val="EFA4FC3E"/>
    <w:lvl w:ilvl="0" w:tplc="68947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A835BA"/>
    <w:multiLevelType w:val="hybridMultilevel"/>
    <w:tmpl w:val="00B43966"/>
    <w:lvl w:ilvl="0" w:tplc="C3309E78">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2677F36"/>
    <w:multiLevelType w:val="hybridMultilevel"/>
    <w:tmpl w:val="41A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DC0050"/>
    <w:multiLevelType w:val="hybridMultilevel"/>
    <w:tmpl w:val="30DA8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F52A17"/>
    <w:multiLevelType w:val="hybridMultilevel"/>
    <w:tmpl w:val="F190B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AB3288D"/>
    <w:multiLevelType w:val="hybridMultilevel"/>
    <w:tmpl w:val="C2385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BC0786D"/>
    <w:multiLevelType w:val="hybridMultilevel"/>
    <w:tmpl w:val="B33ED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9F17A0"/>
    <w:multiLevelType w:val="hybridMultilevel"/>
    <w:tmpl w:val="2170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FC59B0"/>
    <w:multiLevelType w:val="hybridMultilevel"/>
    <w:tmpl w:val="E35CE5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7E740C3D"/>
    <w:multiLevelType w:val="hybridMultilevel"/>
    <w:tmpl w:val="6BB0B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6"/>
  </w:num>
  <w:num w:numId="2">
    <w:abstractNumId w:val="5"/>
  </w:num>
  <w:num w:numId="3">
    <w:abstractNumId w:val="10"/>
  </w:num>
  <w:num w:numId="4">
    <w:abstractNumId w:val="4"/>
  </w:num>
  <w:num w:numId="5">
    <w:abstractNumId w:val="23"/>
  </w:num>
  <w:num w:numId="6">
    <w:abstractNumId w:val="15"/>
  </w:num>
  <w:num w:numId="7">
    <w:abstractNumId w:val="8"/>
  </w:num>
  <w:num w:numId="8">
    <w:abstractNumId w:val="1"/>
  </w:num>
  <w:num w:numId="9">
    <w:abstractNumId w:val="6"/>
  </w:num>
  <w:num w:numId="10">
    <w:abstractNumId w:val="0"/>
  </w:num>
  <w:num w:numId="11">
    <w:abstractNumId w:val="11"/>
  </w:num>
  <w:num w:numId="12">
    <w:abstractNumId w:val="14"/>
  </w:num>
  <w:num w:numId="13">
    <w:abstractNumId w:val="24"/>
  </w:num>
  <w:num w:numId="14">
    <w:abstractNumId w:val="25"/>
  </w:num>
  <w:num w:numId="15">
    <w:abstractNumId w:val="18"/>
  </w:num>
  <w:num w:numId="16">
    <w:abstractNumId w:val="2"/>
  </w:num>
  <w:num w:numId="17">
    <w:abstractNumId w:val="20"/>
  </w:num>
  <w:num w:numId="18">
    <w:abstractNumId w:val="7"/>
  </w:num>
  <w:num w:numId="19">
    <w:abstractNumId w:val="17"/>
  </w:num>
  <w:num w:numId="20">
    <w:abstractNumId w:val="13"/>
  </w:num>
  <w:num w:numId="21">
    <w:abstractNumId w:val="9"/>
  </w:num>
  <w:num w:numId="22">
    <w:abstractNumId w:val="3"/>
  </w:num>
  <w:num w:numId="23">
    <w:abstractNumId w:val="21"/>
  </w:num>
  <w:num w:numId="24">
    <w:abstractNumId w:val="19"/>
  </w:num>
  <w:num w:numId="25">
    <w:abstractNumId w:val="12"/>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EB1"/>
    <w:rsid w:val="000158F9"/>
    <w:rsid w:val="00035CDD"/>
    <w:rsid w:val="00040083"/>
    <w:rsid w:val="00055992"/>
    <w:rsid w:val="00067A5F"/>
    <w:rsid w:val="000820E8"/>
    <w:rsid w:val="000D4F7D"/>
    <w:rsid w:val="001175EE"/>
    <w:rsid w:val="00157CF6"/>
    <w:rsid w:val="0016313B"/>
    <w:rsid w:val="00166237"/>
    <w:rsid w:val="00182416"/>
    <w:rsid w:val="001829F3"/>
    <w:rsid w:val="00187EB4"/>
    <w:rsid w:val="001F0481"/>
    <w:rsid w:val="00200C92"/>
    <w:rsid w:val="0020451E"/>
    <w:rsid w:val="00206B9D"/>
    <w:rsid w:val="00222194"/>
    <w:rsid w:val="0023259C"/>
    <w:rsid w:val="002B0BD7"/>
    <w:rsid w:val="002B573D"/>
    <w:rsid w:val="002C019E"/>
    <w:rsid w:val="002C4D80"/>
    <w:rsid w:val="002C5CB2"/>
    <w:rsid w:val="002F779F"/>
    <w:rsid w:val="00371885"/>
    <w:rsid w:val="003E2B87"/>
    <w:rsid w:val="004014F6"/>
    <w:rsid w:val="00402786"/>
    <w:rsid w:val="00405895"/>
    <w:rsid w:val="004058DF"/>
    <w:rsid w:val="00434E2F"/>
    <w:rsid w:val="00443E6F"/>
    <w:rsid w:val="0044449C"/>
    <w:rsid w:val="00486F1A"/>
    <w:rsid w:val="00490CB9"/>
    <w:rsid w:val="004A2CE2"/>
    <w:rsid w:val="004D0F75"/>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FD8"/>
    <w:rsid w:val="007D4E08"/>
    <w:rsid w:val="007F1F6E"/>
    <w:rsid w:val="00831C11"/>
    <w:rsid w:val="00851BE8"/>
    <w:rsid w:val="008A60B4"/>
    <w:rsid w:val="008B3C31"/>
    <w:rsid w:val="008B64FE"/>
    <w:rsid w:val="008D105C"/>
    <w:rsid w:val="00935BF7"/>
    <w:rsid w:val="0095442C"/>
    <w:rsid w:val="00983942"/>
    <w:rsid w:val="009B6415"/>
    <w:rsid w:val="009C37E0"/>
    <w:rsid w:val="009E01CA"/>
    <w:rsid w:val="009E41F4"/>
    <w:rsid w:val="00A14B66"/>
    <w:rsid w:val="00A370A1"/>
    <w:rsid w:val="00A65CF7"/>
    <w:rsid w:val="00A81AB4"/>
    <w:rsid w:val="00A851DA"/>
    <w:rsid w:val="00AC7D5B"/>
    <w:rsid w:val="00AE1481"/>
    <w:rsid w:val="00B0415E"/>
    <w:rsid w:val="00B04678"/>
    <w:rsid w:val="00B06290"/>
    <w:rsid w:val="00B65A7A"/>
    <w:rsid w:val="00B839BA"/>
    <w:rsid w:val="00BC46DF"/>
    <w:rsid w:val="00BD7AD5"/>
    <w:rsid w:val="00C03577"/>
    <w:rsid w:val="00C21AE0"/>
    <w:rsid w:val="00C334C7"/>
    <w:rsid w:val="00C53029"/>
    <w:rsid w:val="00C65FEA"/>
    <w:rsid w:val="00CA0AC2"/>
    <w:rsid w:val="00CB4D0A"/>
    <w:rsid w:val="00CB4D30"/>
    <w:rsid w:val="00CC2FB3"/>
    <w:rsid w:val="00CC575A"/>
    <w:rsid w:val="00CF123B"/>
    <w:rsid w:val="00D039AC"/>
    <w:rsid w:val="00D1355B"/>
    <w:rsid w:val="00D427DE"/>
    <w:rsid w:val="00D5587D"/>
    <w:rsid w:val="00D57E46"/>
    <w:rsid w:val="00D707CC"/>
    <w:rsid w:val="00D821FE"/>
    <w:rsid w:val="00DB0793"/>
    <w:rsid w:val="00E00821"/>
    <w:rsid w:val="00E04DB4"/>
    <w:rsid w:val="00E30679"/>
    <w:rsid w:val="00E4597D"/>
    <w:rsid w:val="00E54832"/>
    <w:rsid w:val="00E56A90"/>
    <w:rsid w:val="00E641CC"/>
    <w:rsid w:val="00EA30AB"/>
    <w:rsid w:val="00EB3925"/>
    <w:rsid w:val="00ED371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7BD22-81BF-46BE-999F-7A25EA2CB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3</cp:revision>
  <dcterms:created xsi:type="dcterms:W3CDTF">2016-02-25T08:59:00Z</dcterms:created>
  <dcterms:modified xsi:type="dcterms:W3CDTF">2016-02-25T08:59:00Z</dcterms:modified>
</cp:coreProperties>
</file>