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145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409E">
            <w:pPr>
              <w:pStyle w:val="Default"/>
              <w:rPr>
                <w:rFonts w:asciiTheme="minorHAnsi" w:hAnsiTheme="minorHAnsi"/>
              </w:rPr>
            </w:pPr>
            <w:r>
              <w:rPr>
                <w:rFonts w:asciiTheme="minorHAnsi" w:hAnsiTheme="minorHAnsi"/>
              </w:rPr>
              <w:t>MUNYARADZI MAZORODZE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409E">
            <w:pPr>
              <w:pStyle w:val="Default"/>
              <w:rPr>
                <w:rFonts w:asciiTheme="minorHAnsi" w:hAnsiTheme="minorHAnsi"/>
              </w:rPr>
            </w:pPr>
            <w:r>
              <w:rPr>
                <w:rFonts w:asciiTheme="minorHAnsi" w:hAnsiTheme="minorHAnsi"/>
              </w:rPr>
              <w:t>1515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40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409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A268D" w:rsidRPr="003A268D" w:rsidRDefault="003A268D" w:rsidP="003A268D">
            <w:pPr>
              <w:spacing w:after="160" w:line="360" w:lineRule="auto"/>
              <w:rPr>
                <w:rFonts w:ascii="Calibri" w:eastAsia="Calibri" w:hAnsi="Calibri" w:cs="Times New Roman"/>
                <w:b/>
                <w:sz w:val="24"/>
                <w:szCs w:val="24"/>
              </w:rPr>
            </w:pPr>
            <w:r w:rsidRPr="003A268D">
              <w:rPr>
                <w:rFonts w:ascii="Calibri" w:eastAsia="Calibri" w:hAnsi="Calibri" w:cs="Times New Roman"/>
                <w:b/>
                <w:sz w:val="24"/>
                <w:szCs w:val="24"/>
              </w:rPr>
              <w:t>Question 1.</w:t>
            </w:r>
          </w:p>
          <w:p w:rsidR="003A268D" w:rsidRPr="003A268D" w:rsidRDefault="003A268D" w:rsidP="003A268D">
            <w:pPr>
              <w:numPr>
                <w:ilvl w:val="0"/>
                <w:numId w:val="2"/>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Crime can affect the economy through Micro and Macroeconomics. Micro refers to something small, minute and on small scale. Therefore on the micro economies, crime affects individual persons and businesses. Micro economics victims are primarily and directly affected by the loss of money or property. The impact of crimes on micro economics can be easily recognized. Macro-economic effects refers to influence of crime on local communities and domestic and global markets. Understanding the consequence of macro-economic crimes on communities at national and international levels can be difficult for most people and companies.</w:t>
            </w:r>
          </w:p>
          <w:p w:rsidR="003A268D" w:rsidRPr="003A268D" w:rsidRDefault="003A268D" w:rsidP="003A268D">
            <w:pPr>
              <w:numPr>
                <w:ilvl w:val="0"/>
                <w:numId w:val="2"/>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There are many ways which crimes costs the economy and tax payers. This is referred to as ‘Cost reality. These are Law enforcement, the cost of Prevention of crime, Drug rehabilitation and prevention costs, Incarceration, the costs of Courts, prosecutors and defenders, Hospitalization costs, Businesses closures, Insurance companies increasing insurance premiums.</w:t>
            </w:r>
          </w:p>
          <w:p w:rsidR="003A268D" w:rsidRPr="003A268D" w:rsidRDefault="003A268D" w:rsidP="003A268D">
            <w:pPr>
              <w:numPr>
                <w:ilvl w:val="0"/>
                <w:numId w:val="2"/>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 xml:space="preserve">Arson is one of the most common financial crimes which involves malicious and intentional burning of another person’s dwelling. The crime is also the threat to </w:t>
            </w:r>
            <w:r w:rsidRPr="003A268D">
              <w:rPr>
                <w:rFonts w:ascii="Calibri" w:eastAsia="Calibri" w:hAnsi="Calibri" w:cs="Times New Roman"/>
                <w:sz w:val="24"/>
                <w:szCs w:val="24"/>
              </w:rPr>
              <w:lastRenderedPageBreak/>
              <w:t>which the occupants were exposed due to this action. The burning has to be malicious or wilful to be categorized as arson. The real burning of some part of the property must have occurred to warrant a charge of arson.</w:t>
            </w:r>
          </w:p>
          <w:p w:rsidR="003A268D" w:rsidRPr="003A268D" w:rsidRDefault="003A268D" w:rsidP="003A268D">
            <w:pPr>
              <w:numPr>
                <w:ilvl w:val="0"/>
                <w:numId w:val="2"/>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Money laundering is the concealment of the origins of illegally obtained (legitimizing illegally obtained money to hide its true nature or source). It is when persons or business entities conceal gains from unlawful activities through various schemes and methods. An example is when a drug dealer makes $1 million from sales of drugs. He can’t buy assets from this cash because the government will ask where he got the money. He then opens a jewelry shop, and starts selling and paying taxes from the jewelry shop. He is trying to make the money clean. Money laundering activities can be characterized by:</w:t>
            </w:r>
          </w:p>
          <w:p w:rsidR="003A268D" w:rsidRPr="003A268D" w:rsidRDefault="003A268D" w:rsidP="003A268D">
            <w:pPr>
              <w:spacing w:after="160" w:line="360" w:lineRule="auto"/>
              <w:ind w:left="720"/>
              <w:contextualSpacing/>
              <w:rPr>
                <w:rFonts w:ascii="Calibri" w:eastAsia="Calibri" w:hAnsi="Calibri" w:cs="Times New Roman"/>
                <w:sz w:val="24"/>
                <w:szCs w:val="24"/>
              </w:rPr>
            </w:pPr>
          </w:p>
          <w:p w:rsidR="003A268D" w:rsidRPr="003A268D" w:rsidRDefault="003A268D" w:rsidP="003A268D">
            <w:pPr>
              <w:numPr>
                <w:ilvl w:val="1"/>
                <w:numId w:val="3"/>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Transfer of money and other monetary instruments to and from overseas.</w:t>
            </w:r>
          </w:p>
          <w:p w:rsidR="003A268D" w:rsidRPr="003A268D" w:rsidRDefault="003A268D" w:rsidP="003A268D">
            <w:pPr>
              <w:numPr>
                <w:ilvl w:val="1"/>
                <w:numId w:val="3"/>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Buying various tangible and intangible properties with large amounts of cash.</w:t>
            </w:r>
          </w:p>
          <w:p w:rsidR="003A268D" w:rsidRPr="003A268D" w:rsidRDefault="003A268D" w:rsidP="003A268D">
            <w:pPr>
              <w:numPr>
                <w:ilvl w:val="1"/>
                <w:numId w:val="3"/>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Depositing large amounts of money into different financial organizations.</w:t>
            </w:r>
          </w:p>
          <w:p w:rsidR="003A268D" w:rsidRPr="003A268D" w:rsidRDefault="003A268D" w:rsidP="003A268D">
            <w:pPr>
              <w:numPr>
                <w:ilvl w:val="1"/>
                <w:numId w:val="3"/>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Maintaining offshore bank accounts with huge balances.</w:t>
            </w:r>
          </w:p>
          <w:p w:rsidR="003A268D" w:rsidRPr="003A268D" w:rsidRDefault="003A268D" w:rsidP="003A268D">
            <w:pPr>
              <w:numPr>
                <w:ilvl w:val="1"/>
                <w:numId w:val="3"/>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Transmitting money on the public’s behalf, whether overseas or within the country.</w:t>
            </w:r>
          </w:p>
          <w:p w:rsidR="003A268D" w:rsidRPr="003A268D" w:rsidRDefault="003A268D" w:rsidP="003A268D">
            <w:pPr>
              <w:numPr>
                <w:ilvl w:val="1"/>
                <w:numId w:val="3"/>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 xml:space="preserve"> Any money derived from unlawful activities.</w:t>
            </w:r>
          </w:p>
          <w:p w:rsidR="003A268D" w:rsidRPr="003A268D" w:rsidRDefault="003A268D" w:rsidP="003A268D">
            <w:pPr>
              <w:spacing w:after="160" w:line="360" w:lineRule="auto"/>
              <w:ind w:left="720" w:hanging="720"/>
              <w:rPr>
                <w:rFonts w:ascii="Calibri" w:eastAsia="Calibri" w:hAnsi="Calibri" w:cs="Times New Roman"/>
                <w:sz w:val="24"/>
                <w:szCs w:val="24"/>
              </w:rPr>
            </w:pPr>
            <w:r w:rsidRPr="003A268D">
              <w:rPr>
                <w:rFonts w:ascii="Calibri" w:eastAsia="Calibri" w:hAnsi="Calibri" w:cs="Times New Roman"/>
                <w:sz w:val="24"/>
                <w:szCs w:val="24"/>
              </w:rPr>
              <w:t>2</w:t>
            </w:r>
            <w:r w:rsidRPr="003A268D">
              <w:rPr>
                <w:rFonts w:ascii="Calibri" w:eastAsia="Calibri" w:hAnsi="Calibri" w:cs="Times New Roman"/>
                <w:sz w:val="24"/>
                <w:szCs w:val="24"/>
              </w:rPr>
              <w:tab/>
              <w:t>Embezzlement is the process of diverting business income to one’s personal income, being done by the member of staff.www.findlaw.com defines embezzlement as theft/larceny of assets by a person in a position of trust or responsibility over those assets. Embezzlement is most common in employment. An example includes a bank teller who is given custody of cash, but he uses the cash for his own purposes. Embezzlement is different from skimming (carried out by the owners of the company).</w:t>
            </w:r>
          </w:p>
          <w:p w:rsidR="003A268D" w:rsidRPr="003A268D" w:rsidRDefault="003A268D" w:rsidP="003A268D">
            <w:pPr>
              <w:spacing w:after="160" w:line="360" w:lineRule="auto"/>
              <w:ind w:left="720" w:hanging="720"/>
              <w:rPr>
                <w:rFonts w:ascii="Calibri" w:eastAsia="Calibri" w:hAnsi="Calibri" w:cs="Times New Roman"/>
                <w:sz w:val="24"/>
                <w:szCs w:val="24"/>
              </w:rPr>
            </w:pPr>
            <w:r w:rsidRPr="003A268D">
              <w:rPr>
                <w:rFonts w:ascii="Calibri" w:eastAsia="Calibri" w:hAnsi="Calibri" w:cs="Times New Roman"/>
                <w:sz w:val="24"/>
                <w:szCs w:val="24"/>
              </w:rPr>
              <w:tab/>
              <w:t xml:space="preserve">Embezzlement is considered a financial crime because it involves the conversion of company income into a private individual. It involves the use of the assets entrusted </w:t>
            </w:r>
            <w:r w:rsidRPr="003A268D">
              <w:rPr>
                <w:rFonts w:ascii="Calibri" w:eastAsia="Calibri" w:hAnsi="Calibri" w:cs="Times New Roman"/>
                <w:sz w:val="24"/>
                <w:szCs w:val="24"/>
              </w:rPr>
              <w:lastRenderedPageBreak/>
              <w:t>to the perpetrator without any consent to the owner of the assets. This can lead to the collapse of the company in the long run. Also the perpetrator will try to find means of concealing the embezzled income. This is common in cash businesses such as groceries, bars, jewelries. In an attempt to conceal the act, the perpetrator normally takes the funds in small portions to minimize the risk of detection. This can go on for decades without detection. Embezzlement qualifies as a financial crime because it satisfies the elements involved that is:</w:t>
            </w:r>
          </w:p>
          <w:p w:rsidR="003A268D" w:rsidRPr="003A268D" w:rsidRDefault="003A268D" w:rsidP="003A268D">
            <w:pPr>
              <w:numPr>
                <w:ilvl w:val="0"/>
                <w:numId w:val="4"/>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The perpetrator willing to commit an offence</w:t>
            </w:r>
          </w:p>
          <w:p w:rsidR="003A268D" w:rsidRPr="003A268D" w:rsidRDefault="003A268D" w:rsidP="003A268D">
            <w:pPr>
              <w:numPr>
                <w:ilvl w:val="0"/>
                <w:numId w:val="4"/>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There is an opportunity to take something without being detected</w:t>
            </w:r>
          </w:p>
          <w:p w:rsidR="003A268D" w:rsidRPr="003A268D" w:rsidRDefault="003A268D" w:rsidP="003A268D">
            <w:pPr>
              <w:numPr>
                <w:ilvl w:val="0"/>
                <w:numId w:val="4"/>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The presence of something valuable</w:t>
            </w:r>
          </w:p>
          <w:p w:rsidR="003A268D" w:rsidRPr="003A268D" w:rsidRDefault="003A268D" w:rsidP="003A268D">
            <w:pPr>
              <w:spacing w:after="160" w:line="360" w:lineRule="auto"/>
              <w:ind w:left="720" w:hanging="720"/>
              <w:rPr>
                <w:rFonts w:ascii="Calibri" w:eastAsia="Calibri" w:hAnsi="Calibri" w:cs="Times New Roman"/>
                <w:sz w:val="24"/>
                <w:szCs w:val="24"/>
              </w:rPr>
            </w:pPr>
            <w:r w:rsidRPr="003A268D">
              <w:rPr>
                <w:rFonts w:ascii="Calibri" w:eastAsia="Calibri" w:hAnsi="Calibri" w:cs="Times New Roman"/>
                <w:sz w:val="24"/>
                <w:szCs w:val="24"/>
              </w:rPr>
              <w:t>3.</w:t>
            </w:r>
            <w:r w:rsidRPr="003A268D">
              <w:rPr>
                <w:rFonts w:ascii="Calibri" w:eastAsia="Calibri" w:hAnsi="Calibri" w:cs="Times New Roman"/>
                <w:sz w:val="24"/>
                <w:szCs w:val="24"/>
              </w:rPr>
              <w:tab/>
              <w:t>Forgery is intentional deceitful making or material modification of any writing with the intention to deceive or harm another person’s rights. It is a creation of a false written document or alteration of a genuine one, with the intent to defraud. It is an act of faking a document to make it appear genuine for financial gain. A mere unimportant change or modification of the signature that does not affect the legal liability of either party concerned with the instrument involved is not forgery.</w:t>
            </w:r>
          </w:p>
          <w:p w:rsidR="003A268D" w:rsidRPr="003A268D" w:rsidRDefault="003A268D" w:rsidP="003A268D">
            <w:pPr>
              <w:spacing w:after="160" w:line="360" w:lineRule="auto"/>
              <w:ind w:left="720" w:hanging="720"/>
              <w:rPr>
                <w:rFonts w:ascii="Calibri" w:eastAsia="Calibri" w:hAnsi="Calibri" w:cs="Times New Roman"/>
                <w:sz w:val="24"/>
                <w:szCs w:val="24"/>
              </w:rPr>
            </w:pPr>
            <w:r w:rsidRPr="003A268D">
              <w:rPr>
                <w:rFonts w:ascii="Calibri" w:eastAsia="Calibri" w:hAnsi="Calibri" w:cs="Times New Roman"/>
                <w:sz w:val="24"/>
                <w:szCs w:val="24"/>
              </w:rPr>
              <w:tab/>
              <w:t>Uttering and forgery appear synonymous. Whereas forgery is the act of creating a forged document, uttering is committed when someone, with intent to defraud, knowingly sells, publishes, attempts to sells ,passes or utters a forged, falsely made altered or counterfeited document  for financial benefit. This is the definition according to Cornell University. The most key words in uttering is that an individual need to knowingly pass on a forged document made by someone else.</w:t>
            </w:r>
          </w:p>
          <w:p w:rsidR="003A268D" w:rsidRPr="003A268D" w:rsidRDefault="003A268D" w:rsidP="003A268D">
            <w:pPr>
              <w:spacing w:after="160" w:line="360" w:lineRule="auto"/>
              <w:ind w:left="720" w:hanging="720"/>
              <w:rPr>
                <w:rFonts w:ascii="Calibri" w:eastAsia="Calibri" w:hAnsi="Calibri" w:cs="Times New Roman"/>
                <w:sz w:val="24"/>
                <w:szCs w:val="24"/>
              </w:rPr>
            </w:pPr>
            <w:r w:rsidRPr="003A268D">
              <w:rPr>
                <w:rFonts w:ascii="Calibri" w:eastAsia="Calibri" w:hAnsi="Calibri" w:cs="Times New Roman"/>
                <w:sz w:val="24"/>
                <w:szCs w:val="24"/>
              </w:rPr>
              <w:tab/>
              <w:t>Forgery and uttering, though different, they work hand in hand. Forgery has to be complemented by uttering to be a complete process. An example of forgery is when someone forges a manager‘s signature on a cheque to gets cash from the bank. Uttering then comes when he takes the cheque to the bank to withdraw cash. In this case uttering can be committed by two people, that is by the bearer of the cheque or the teller, who despite the knowledge that the signature is forged, goes ahead to issue out cash with the intention to defraud.</w:t>
            </w:r>
          </w:p>
          <w:p w:rsidR="003A268D" w:rsidRPr="003A268D" w:rsidRDefault="003A268D" w:rsidP="003A268D">
            <w:pPr>
              <w:spacing w:after="160" w:line="360" w:lineRule="auto"/>
              <w:rPr>
                <w:rFonts w:ascii="Calibri" w:eastAsia="Calibri" w:hAnsi="Calibri" w:cs="Times New Roman"/>
                <w:sz w:val="24"/>
                <w:szCs w:val="24"/>
              </w:rPr>
            </w:pPr>
          </w:p>
          <w:p w:rsidR="003A268D" w:rsidRPr="003A268D" w:rsidRDefault="003A268D" w:rsidP="003A268D">
            <w:pPr>
              <w:spacing w:after="160" w:line="360" w:lineRule="auto"/>
              <w:ind w:left="720" w:hanging="720"/>
              <w:rPr>
                <w:rFonts w:ascii="Calibri" w:eastAsia="Calibri" w:hAnsi="Calibri" w:cs="Times New Roman"/>
                <w:b/>
                <w:sz w:val="24"/>
                <w:szCs w:val="24"/>
                <w:u w:val="single"/>
              </w:rPr>
            </w:pPr>
            <w:r w:rsidRPr="003A268D">
              <w:rPr>
                <w:rFonts w:ascii="Calibri" w:eastAsia="Calibri" w:hAnsi="Calibri" w:cs="Times New Roman"/>
                <w:b/>
                <w:sz w:val="24"/>
                <w:szCs w:val="24"/>
                <w:u w:val="single"/>
              </w:rPr>
              <w:t>Case study</w:t>
            </w:r>
          </w:p>
          <w:p w:rsidR="003A268D" w:rsidRPr="003A268D" w:rsidRDefault="003A268D" w:rsidP="003A268D">
            <w:pPr>
              <w:spacing w:after="160" w:line="360" w:lineRule="auto"/>
              <w:ind w:left="720"/>
              <w:rPr>
                <w:rFonts w:ascii="Calibri" w:eastAsia="Calibri" w:hAnsi="Calibri" w:cs="Times New Roman"/>
                <w:sz w:val="24"/>
                <w:szCs w:val="24"/>
              </w:rPr>
            </w:pPr>
            <w:r w:rsidRPr="003A268D">
              <w:rPr>
                <w:rFonts w:ascii="Calibri" w:eastAsia="Calibri" w:hAnsi="Calibri" w:cs="Times New Roman"/>
                <w:sz w:val="24"/>
                <w:szCs w:val="24"/>
              </w:rPr>
              <w:t>The case described appears to be an act of money laundering, where the couple are trying to legitimize their dealings with the income coming from their savings. In this case, there is limited information on the fraud, and therefore the forensic auditor should use the fraud theory approach. A Brainstorming session will probably lead the forensic accountant to propose the most probable fraud scheme. The forensic Auditor needed to have skills in reporting on savings accounting.</w:t>
            </w:r>
          </w:p>
          <w:p w:rsidR="003A268D" w:rsidRPr="003A268D" w:rsidRDefault="003A268D" w:rsidP="003A268D">
            <w:pPr>
              <w:spacing w:after="160" w:line="360" w:lineRule="auto"/>
              <w:ind w:left="720"/>
              <w:rPr>
                <w:rFonts w:ascii="Calibri" w:eastAsia="Calibri" w:hAnsi="Calibri" w:cs="Times New Roman"/>
                <w:sz w:val="24"/>
                <w:szCs w:val="24"/>
              </w:rPr>
            </w:pPr>
            <w:r w:rsidRPr="003A268D">
              <w:rPr>
                <w:rFonts w:ascii="Calibri" w:eastAsia="Calibri" w:hAnsi="Calibri" w:cs="Times New Roman"/>
                <w:sz w:val="24"/>
                <w:szCs w:val="24"/>
              </w:rPr>
              <w:t xml:space="preserve">Based on the fraud theory, the forensic accountant should devise a plan to collect adequate and competent evidence, such as forensic evidence. During this step, an examination is made of accounting transactions, records, documents, and data relating to the savings to acquire adequate evidence to ascertain whether the fraud identified earlier actually occurred. </w:t>
            </w:r>
          </w:p>
          <w:p w:rsidR="003A268D" w:rsidRPr="003A268D" w:rsidRDefault="003A268D" w:rsidP="003A268D">
            <w:pPr>
              <w:spacing w:after="160" w:line="360" w:lineRule="auto"/>
              <w:ind w:left="720"/>
              <w:rPr>
                <w:rFonts w:ascii="Calibri" w:eastAsia="Calibri" w:hAnsi="Calibri" w:cs="Times New Roman"/>
                <w:sz w:val="24"/>
                <w:szCs w:val="24"/>
              </w:rPr>
            </w:pPr>
            <w:r w:rsidRPr="003A268D">
              <w:rPr>
                <w:rFonts w:ascii="Calibri" w:eastAsia="Calibri" w:hAnsi="Calibri" w:cs="Times New Roman"/>
                <w:sz w:val="24"/>
                <w:szCs w:val="24"/>
              </w:rPr>
              <w:t>In this case, there is need to recompute the income and expenses based on the documents available to ensure that there is no concealed income and inflated expenses to justify the reported profits. He can also request the comparatives for the past year to compare with the current reports. By so doing, he was able to show that the couple had spent considerably more cash than apparently received and concluded that the husband and wife must have had access to unidentified sources of income.</w:t>
            </w:r>
          </w:p>
          <w:p w:rsidR="003A268D" w:rsidRPr="003A268D" w:rsidRDefault="003A268D" w:rsidP="003A268D">
            <w:pPr>
              <w:spacing w:after="160" w:line="360" w:lineRule="auto"/>
              <w:ind w:left="720"/>
              <w:rPr>
                <w:rFonts w:ascii="Calibri" w:eastAsia="Calibri" w:hAnsi="Calibri" w:cs="Times New Roman"/>
                <w:sz w:val="24"/>
                <w:szCs w:val="24"/>
              </w:rPr>
            </w:pPr>
            <w:r w:rsidRPr="003A268D">
              <w:rPr>
                <w:rFonts w:ascii="Calibri" w:eastAsia="Calibri" w:hAnsi="Calibri" w:cs="Times New Roman"/>
                <w:sz w:val="24"/>
                <w:szCs w:val="24"/>
              </w:rPr>
              <w:t>The forensic Accountant could have been able to tell that the couple had access income by recompiling the figures and compare the expected levels of income against the available income. This might involve requesting the bank statement as well as interviewing the bank staff on the sources of unusually high amounts of deposits. The Forensic auditor can also interview the Accountant the basis of preparing his report including his sources of information. After all sufficient evidence has been gathered, the last step in the investigation would be to interview the suspect to obtain a confession.</w:t>
            </w:r>
          </w:p>
          <w:p w:rsidR="003A268D" w:rsidRPr="003A268D" w:rsidRDefault="003A268D" w:rsidP="003A268D">
            <w:pPr>
              <w:spacing w:after="160" w:line="360" w:lineRule="auto"/>
              <w:ind w:left="720"/>
              <w:rPr>
                <w:rFonts w:ascii="Calibri" w:eastAsia="Calibri" w:hAnsi="Calibri" w:cs="Times New Roman"/>
                <w:sz w:val="24"/>
                <w:szCs w:val="24"/>
              </w:rPr>
            </w:pPr>
          </w:p>
          <w:p w:rsidR="003A268D" w:rsidRPr="003A268D" w:rsidRDefault="003A268D" w:rsidP="003A268D">
            <w:pPr>
              <w:spacing w:after="160" w:line="360" w:lineRule="auto"/>
              <w:ind w:left="720"/>
              <w:rPr>
                <w:rFonts w:ascii="Calibri" w:eastAsia="Calibri" w:hAnsi="Calibri" w:cs="Times New Roman"/>
                <w:sz w:val="24"/>
                <w:szCs w:val="24"/>
              </w:rPr>
            </w:pPr>
          </w:p>
          <w:p w:rsidR="003A268D" w:rsidRPr="003A268D" w:rsidRDefault="003A268D" w:rsidP="003A268D">
            <w:pPr>
              <w:spacing w:after="160" w:line="360" w:lineRule="auto"/>
              <w:ind w:left="720"/>
              <w:rPr>
                <w:rFonts w:ascii="Calibri" w:eastAsia="Calibri" w:hAnsi="Calibri" w:cs="Times New Roman"/>
                <w:b/>
                <w:sz w:val="24"/>
                <w:szCs w:val="24"/>
                <w:u w:val="single"/>
              </w:rPr>
            </w:pPr>
            <w:r w:rsidRPr="003A268D">
              <w:rPr>
                <w:rFonts w:ascii="Calibri" w:eastAsia="Calibri" w:hAnsi="Calibri" w:cs="Times New Roman"/>
                <w:b/>
                <w:sz w:val="24"/>
                <w:szCs w:val="24"/>
                <w:u w:val="single"/>
              </w:rPr>
              <w:t>Bibliography</w:t>
            </w:r>
          </w:p>
          <w:p w:rsidR="003A268D" w:rsidRPr="003A268D" w:rsidRDefault="003A268D" w:rsidP="003A268D">
            <w:pPr>
              <w:numPr>
                <w:ilvl w:val="0"/>
                <w:numId w:val="5"/>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Brentwood open learning College, Crime and Economy  ( 2015)</w:t>
            </w:r>
          </w:p>
          <w:p w:rsidR="003A268D" w:rsidRPr="003A268D" w:rsidRDefault="00291A35" w:rsidP="003A268D">
            <w:pPr>
              <w:numPr>
                <w:ilvl w:val="0"/>
                <w:numId w:val="5"/>
              </w:numPr>
              <w:spacing w:after="160" w:line="360" w:lineRule="auto"/>
              <w:contextualSpacing/>
              <w:rPr>
                <w:rFonts w:ascii="Calibri" w:eastAsia="Calibri" w:hAnsi="Calibri" w:cs="Times New Roman"/>
                <w:sz w:val="24"/>
                <w:szCs w:val="24"/>
              </w:rPr>
            </w:pPr>
            <w:hyperlink r:id="rId9" w:history="1">
              <w:r w:rsidR="003A268D" w:rsidRPr="003A268D">
                <w:rPr>
                  <w:rFonts w:ascii="Calibri" w:eastAsia="Calibri" w:hAnsi="Calibri" w:cs="Times New Roman"/>
                  <w:color w:val="0563C1"/>
                  <w:sz w:val="24"/>
                  <w:szCs w:val="24"/>
                  <w:u w:val="single"/>
                </w:rPr>
                <w:t>www.findlaw.com</w:t>
              </w:r>
            </w:hyperlink>
          </w:p>
          <w:p w:rsidR="003A268D" w:rsidRPr="003A268D" w:rsidRDefault="003A268D" w:rsidP="003A268D">
            <w:pPr>
              <w:numPr>
                <w:ilvl w:val="0"/>
                <w:numId w:val="5"/>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Economic contributions to the understanding of crime, D.Levit and J.Miles</w:t>
            </w:r>
          </w:p>
          <w:p w:rsidR="003A268D" w:rsidRPr="003A268D" w:rsidRDefault="003A268D" w:rsidP="003A268D">
            <w:pPr>
              <w:numPr>
                <w:ilvl w:val="0"/>
                <w:numId w:val="5"/>
              </w:numPr>
              <w:spacing w:after="160" w:line="360" w:lineRule="auto"/>
              <w:contextualSpacing/>
              <w:rPr>
                <w:rFonts w:ascii="Calibri" w:eastAsia="Calibri" w:hAnsi="Calibri" w:cs="Times New Roman"/>
                <w:sz w:val="24"/>
                <w:szCs w:val="24"/>
              </w:rPr>
            </w:pPr>
            <w:r w:rsidRPr="003A268D">
              <w:rPr>
                <w:rFonts w:ascii="Calibri" w:eastAsia="Calibri" w:hAnsi="Calibri" w:cs="Times New Roman"/>
                <w:sz w:val="24"/>
                <w:szCs w:val="24"/>
              </w:rPr>
              <w:t>Investigation process, the case of TSB.</w:t>
            </w:r>
          </w:p>
          <w:p w:rsidR="003A268D" w:rsidRPr="003A268D" w:rsidRDefault="003A268D" w:rsidP="003A268D">
            <w:pPr>
              <w:spacing w:after="160" w:line="360" w:lineRule="auto"/>
              <w:ind w:left="1440"/>
              <w:contextualSpacing/>
              <w:rPr>
                <w:rFonts w:ascii="Calibri" w:eastAsia="Calibri" w:hAnsi="Calibri" w:cs="Times New Roman"/>
                <w:sz w:val="24"/>
                <w:szCs w:val="24"/>
              </w:rPr>
            </w:pPr>
          </w:p>
          <w:p w:rsidR="003A268D" w:rsidRPr="003A268D" w:rsidRDefault="003A268D" w:rsidP="003A268D">
            <w:pPr>
              <w:spacing w:after="160" w:line="360" w:lineRule="auto"/>
              <w:ind w:left="720"/>
              <w:rPr>
                <w:rFonts w:ascii="Calibri" w:eastAsia="Calibri" w:hAnsi="Calibri" w:cs="Times New Roman"/>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268D" w:rsidP="00A851DA">
            <w:pPr>
              <w:rPr>
                <w:rFonts w:cs="Bliss-Regular"/>
                <w:color w:val="000000"/>
              </w:rPr>
            </w:pPr>
            <w:r w:rsidRPr="003A268D">
              <w:rPr>
                <w:rFonts w:cs="Bliss-Regular"/>
                <w:noProof/>
                <w:color w:val="000000"/>
              </w:rPr>
              <w:drawing>
                <wp:inline distT="0" distB="0" distL="0" distR="0">
                  <wp:extent cx="2009775" cy="676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9775" cy="676275"/>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409E" w:rsidP="00A851DA">
            <w:pPr>
              <w:rPr>
                <w:rFonts w:cs="Bliss-Regular"/>
                <w:color w:val="000000"/>
              </w:rPr>
            </w:pPr>
            <w:r>
              <w:rPr>
                <w:rFonts w:cs="Bliss-Regular"/>
                <w:color w:val="000000"/>
              </w:rPr>
              <w:t>25/10/15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A35" w:rsidRDefault="00291A35" w:rsidP="00CB4D0A">
      <w:pPr>
        <w:spacing w:after="0" w:line="240" w:lineRule="auto"/>
      </w:pPr>
      <w:r>
        <w:separator/>
      </w:r>
    </w:p>
  </w:endnote>
  <w:endnote w:type="continuationSeparator" w:id="0">
    <w:p w:rsidR="00291A35" w:rsidRDefault="00291A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A35" w:rsidRDefault="00291A35" w:rsidP="00CB4D0A">
      <w:pPr>
        <w:spacing w:after="0" w:line="240" w:lineRule="auto"/>
      </w:pPr>
      <w:r>
        <w:separator/>
      </w:r>
    </w:p>
  </w:footnote>
  <w:footnote w:type="continuationSeparator" w:id="0">
    <w:p w:rsidR="00291A35" w:rsidRDefault="00291A3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F2E5D"/>
    <w:multiLevelType w:val="hybridMultilevel"/>
    <w:tmpl w:val="ABB4B4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1A5D0F"/>
    <w:multiLevelType w:val="hybridMultilevel"/>
    <w:tmpl w:val="E53CE95C"/>
    <w:lvl w:ilvl="0" w:tplc="0409000D">
      <w:start w:val="1"/>
      <w:numFmt w:val="bullet"/>
      <w:lvlText w:val=""/>
      <w:lvlJc w:val="left"/>
      <w:pPr>
        <w:ind w:left="1440" w:hanging="360"/>
      </w:pPr>
      <w:rPr>
        <w:rFonts w:ascii="Wingdings" w:hAnsi="Wingdings" w:hint="default"/>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9736C9F"/>
    <w:multiLevelType w:val="hybridMultilevel"/>
    <w:tmpl w:val="57BAF34A"/>
    <w:lvl w:ilvl="0" w:tplc="04090013">
      <w:start w:val="1"/>
      <w:numFmt w:val="upperRoman"/>
      <w:lvlText w:val="%1."/>
      <w:lvlJc w:val="right"/>
      <w:pPr>
        <w:ind w:left="720" w:hanging="360"/>
      </w:pPr>
    </w:lvl>
    <w:lvl w:ilvl="1" w:tplc="1E48119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C91FEC"/>
    <w:multiLevelType w:val="hybridMultilevel"/>
    <w:tmpl w:val="D5F0107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1A35"/>
    <w:rsid w:val="002B0BD7"/>
    <w:rsid w:val="002B573D"/>
    <w:rsid w:val="002C145C"/>
    <w:rsid w:val="002C5CB2"/>
    <w:rsid w:val="002F779F"/>
    <w:rsid w:val="00371885"/>
    <w:rsid w:val="003A268D"/>
    <w:rsid w:val="003E2B87"/>
    <w:rsid w:val="00402786"/>
    <w:rsid w:val="00405895"/>
    <w:rsid w:val="004058DF"/>
    <w:rsid w:val="00443E6F"/>
    <w:rsid w:val="00486F1A"/>
    <w:rsid w:val="00490CB9"/>
    <w:rsid w:val="004A2CE2"/>
    <w:rsid w:val="004E3CDA"/>
    <w:rsid w:val="004F4B4D"/>
    <w:rsid w:val="0050216D"/>
    <w:rsid w:val="00503D7E"/>
    <w:rsid w:val="0050778F"/>
    <w:rsid w:val="00516E49"/>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409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E8527A-5FA1-474E-888B-AB296C50C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find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F4B66-ED6B-4639-966D-A0E492CFB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Oliver Marufu</cp:lastModifiedBy>
  <cp:revision>2</cp:revision>
  <dcterms:created xsi:type="dcterms:W3CDTF">2015-10-31T07:53:00Z</dcterms:created>
  <dcterms:modified xsi:type="dcterms:W3CDTF">2015-10-31T07:53:00Z</dcterms:modified>
</cp:coreProperties>
</file>