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14717"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A779D">
            <w:pPr>
              <w:pStyle w:val="Default"/>
              <w:rPr>
                <w:rFonts w:asciiTheme="minorHAnsi" w:hAnsiTheme="minorHAnsi"/>
              </w:rPr>
            </w:pPr>
            <w:r>
              <w:rPr>
                <w:rFonts w:asciiTheme="minorHAnsi" w:hAnsiTheme="minorHAnsi"/>
              </w:rPr>
              <w:t>Julie Bowmer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A779D">
            <w:pPr>
              <w:pStyle w:val="Default"/>
              <w:rPr>
                <w:rFonts w:asciiTheme="minorHAnsi" w:hAnsiTheme="minorHAnsi"/>
              </w:rPr>
            </w:pPr>
            <w:r>
              <w:rPr>
                <w:rFonts w:asciiTheme="minorHAnsi" w:hAnsiTheme="minorHAnsi"/>
              </w:rPr>
              <w:t>1332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A779D">
            <w:pPr>
              <w:pStyle w:val="Default"/>
              <w:rPr>
                <w:rFonts w:asciiTheme="minorHAnsi" w:hAnsiTheme="minorHAnsi"/>
              </w:rPr>
            </w:pPr>
            <w:r>
              <w:rPr>
                <w:rFonts w:asciiTheme="minorHAnsi" w:hAnsiTheme="minorHAnsi"/>
              </w:rPr>
              <w:t>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A779D" w:rsidP="00A61866">
            <w:r>
              <w:t xml:space="preserve">Assessment </w:t>
            </w:r>
            <w:r w:rsidR="00D5138B">
              <w:t>12</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016"/>
      </w:tblGrid>
      <w:tr w:rsidR="00CC2FB3" w:rsidTr="000A4529">
        <w:trPr>
          <w:trHeight w:val="132"/>
        </w:trPr>
        <w:tc>
          <w:tcPr>
            <w:tcW w:w="9242" w:type="dxa"/>
          </w:tcPr>
          <w:p w:rsidR="00D5138B" w:rsidRDefault="00D5138B" w:rsidP="00D5138B"/>
          <w:p w:rsidR="00D5138B" w:rsidRDefault="00D5138B" w:rsidP="00D5138B">
            <w:pPr>
              <w:pStyle w:val="ListParagraph"/>
              <w:numPr>
                <w:ilvl w:val="0"/>
                <w:numId w:val="7"/>
              </w:numPr>
              <w:rPr>
                <w:b/>
              </w:rPr>
            </w:pPr>
            <w:r>
              <w:rPr>
                <w:b/>
              </w:rPr>
              <w:t>What does internal auditor do?</w:t>
            </w:r>
          </w:p>
          <w:p w:rsidR="00D5138B" w:rsidRDefault="00D5138B" w:rsidP="00D5138B">
            <w:r>
              <w:t>An internal auditor’s role is primarily managerial, challenging current practice, championing best practice and be a catalyst for improvement.  In order to assist the organisation to achieve its strategic objectives internal audit is likely to cover issues in some detail which the external auditors would not necessarily review such as; risk management, operational issues, sales and marketing, human resources, computer systems, legal compliance and value for money.  Internal audit helps an organisation accomplish its objectives by bringing a systematic, disciplined approach to evaluate and improve the effectiveness of risk management, control and governance processes.</w:t>
            </w:r>
          </w:p>
          <w:p w:rsidR="00D5138B" w:rsidRDefault="00D5138B" w:rsidP="00D5138B">
            <w:pPr>
              <w:pStyle w:val="ListParagraph"/>
              <w:numPr>
                <w:ilvl w:val="0"/>
                <w:numId w:val="7"/>
              </w:numPr>
              <w:rPr>
                <w:b/>
              </w:rPr>
            </w:pPr>
            <w:r>
              <w:rPr>
                <w:b/>
              </w:rPr>
              <w:t>How do forensic accountants work with external auditors?</w:t>
            </w:r>
          </w:p>
          <w:p w:rsidR="00D5138B" w:rsidRDefault="00D5138B" w:rsidP="00D5138B">
            <w:r>
              <w:t>External auditors don’t generally know the company or its staff as well as internal auditors, external audit staff are systematically rotated and there is a recommendation that audit partners are also rotated after five years.  External auditor’s objectives are different to forensic accountants; they are there to validate a set of financial statements, not to uncover frauds within the organisation.  However the forensic investigator will be likely to ask for input from the external auditor early in the investigation and this information can be crucial. The external auditors should have carried out extensive client assessment procedures, including gaining and understanding of the client and its operating environment, the nature of the business, pressures on the business, quality of management etc., all being really useful to the forensic team.  Access to working papers will usually require a formal access letter from the client and legal advice should be taken as there is always the possibility of legal action hanging over the external auditors themselves.</w:t>
            </w:r>
          </w:p>
          <w:p w:rsidR="00D5138B" w:rsidRDefault="00D5138B" w:rsidP="00D5138B"/>
          <w:p w:rsidR="00D5138B" w:rsidRDefault="00D5138B" w:rsidP="00D5138B">
            <w:pPr>
              <w:pStyle w:val="ListParagraph"/>
              <w:numPr>
                <w:ilvl w:val="0"/>
                <w:numId w:val="7"/>
              </w:numPr>
              <w:rPr>
                <w:b/>
              </w:rPr>
            </w:pPr>
            <w:r>
              <w:rPr>
                <w:b/>
              </w:rPr>
              <w:t>What are the objectives of internal auditors in forensic investigations?</w:t>
            </w:r>
          </w:p>
          <w:p w:rsidR="00D5138B" w:rsidRDefault="00D5138B" w:rsidP="00D5138B">
            <w:r>
              <w:t xml:space="preserve">The internal auditor should be an ally to the forensic team; this of course depends on the strength, qualifications and expertise of the internal audit team.  Forensic accountants will have to work with the internal audit team at some level and this can be extremely useful because of their knowledge of the company and systems, in particular how anomalies are likely to evidence themselves.  They can assist in the actual investigation work by collecting and collating information and documentation, using core audit skills to carry out tests.  The ultimate responsibility for the investigation will lie with the organisation, possibly embodied in the form of the audit committee, who may decide that it is inappropriate for the internal auditors to be involved, in which case they become a passive resource. </w:t>
            </w:r>
          </w:p>
          <w:p w:rsidR="00D5138B" w:rsidRDefault="00D5138B" w:rsidP="00D5138B"/>
          <w:p w:rsidR="00D5138B" w:rsidRDefault="00D5138B" w:rsidP="00D5138B"/>
          <w:p w:rsidR="00D5138B" w:rsidRDefault="00D5138B" w:rsidP="00D5138B">
            <w:pPr>
              <w:pStyle w:val="ListParagraph"/>
              <w:numPr>
                <w:ilvl w:val="0"/>
                <w:numId w:val="7"/>
              </w:numPr>
              <w:rPr>
                <w:b/>
              </w:rPr>
            </w:pPr>
            <w:r>
              <w:rPr>
                <w:b/>
              </w:rPr>
              <w:lastRenderedPageBreak/>
              <w:t>What is the role of forensic accounting investigators when working in a forensic team?</w:t>
            </w:r>
          </w:p>
          <w:p w:rsidR="00D5138B" w:rsidRDefault="00D5138B" w:rsidP="00D5138B">
            <w:pPr>
              <w:pStyle w:val="NormalWeb"/>
              <w:rPr>
                <w:rFonts w:asciiTheme="minorHAnsi" w:hAnsiTheme="minorHAnsi"/>
                <w:sz w:val="22"/>
                <w:szCs w:val="22"/>
              </w:rPr>
            </w:pPr>
            <w:r>
              <w:rPr>
                <w:rFonts w:asciiTheme="minorHAnsi" w:hAnsiTheme="minorHAnsi"/>
                <w:sz w:val="22"/>
                <w:szCs w:val="22"/>
              </w:rPr>
              <w:t>Public sector, insurance companies, banks, police forces and government agencies, shareholders and directors are the common employers of forensic accountants and the forensic accountant needs to fit well within that entire team which would also include lawyers as well as internal and external auditors.  Fundamentally the role of the forensic accountant would include; investigating and analysing financial evidence, developing computerised applications to assist in the analysis and presentation of financial evidence, communicating their findings in the form of reports, exhibits and collections of documents and assisting in legal proceedings, including testifying in court as an expert witness and preparing visual aids to support trial evidence.</w:t>
            </w:r>
          </w:p>
          <w:p w:rsidR="00D5138B" w:rsidRDefault="00D5138B" w:rsidP="00D5138B">
            <w:pPr>
              <w:pStyle w:val="NormalWeb"/>
              <w:rPr>
                <w:rFonts w:asciiTheme="minorHAnsi" w:hAnsiTheme="minorHAnsi"/>
                <w:sz w:val="22"/>
                <w:szCs w:val="22"/>
              </w:rPr>
            </w:pPr>
          </w:p>
          <w:p w:rsidR="00D5138B" w:rsidRDefault="00D5138B" w:rsidP="00D5138B">
            <w:pPr>
              <w:pStyle w:val="NormalWeb"/>
              <w:rPr>
                <w:rFonts w:asciiTheme="minorHAnsi" w:hAnsiTheme="minorHAnsi"/>
                <w:b/>
                <w:sz w:val="22"/>
                <w:szCs w:val="22"/>
              </w:rPr>
            </w:pPr>
            <w:r>
              <w:rPr>
                <w:rFonts w:asciiTheme="minorHAnsi" w:hAnsiTheme="minorHAnsi"/>
                <w:b/>
                <w:sz w:val="22"/>
                <w:szCs w:val="22"/>
              </w:rPr>
              <w:t>2. How do forensic accounting investigators work with lawyers?</w:t>
            </w:r>
          </w:p>
          <w:p w:rsidR="00D5138B" w:rsidRDefault="00D5138B" w:rsidP="00D5138B">
            <w:pPr>
              <w:pStyle w:val="NormalWeb"/>
              <w:rPr>
                <w:rFonts w:asciiTheme="minorHAnsi" w:eastAsiaTheme="minorHAnsi" w:hAnsiTheme="minorHAnsi"/>
                <w:sz w:val="22"/>
                <w:szCs w:val="22"/>
                <w:lang w:eastAsia="en-US"/>
              </w:rPr>
            </w:pPr>
            <w:r>
              <w:rPr>
                <w:rFonts w:asciiTheme="minorHAnsi" w:hAnsiTheme="minorHAnsi"/>
                <w:sz w:val="22"/>
                <w:szCs w:val="22"/>
              </w:rPr>
              <w:t>In any investigation some form of legal involvement is vital.  This can be in the form of an in house lawyer but it is more usual to use a specialist legal expert with experience of forensic investigation. Whilst the lawyers are ultimately responsible for leading a successful investigation, the forensic accountant is a key player in determining success.  Lawyers will also be able to work with the forensic accountants not only in giving advice as required but in the preparation and use of the various orders which can be used to gather information and prevent the disposal of assets, such as Norwich pharmacal orders, freezing orders and search orders; these procedures are expensive and need to be handled with care.  The forensic accountant would assist the lawyer with expertise in accounting, internal controls and financial analysis as well as data mining and analysis of the company’s bookkeeping.</w:t>
            </w:r>
          </w:p>
          <w:p w:rsidR="00D5138B" w:rsidRDefault="00D5138B" w:rsidP="00D5138B">
            <w:pPr>
              <w:pStyle w:val="NormalWeb"/>
              <w:rPr>
                <w:rFonts w:asciiTheme="minorHAnsi" w:hAnsiTheme="minorHAnsi"/>
                <w:sz w:val="22"/>
                <w:szCs w:val="22"/>
              </w:rPr>
            </w:pPr>
          </w:p>
          <w:p w:rsidR="00D5138B" w:rsidRDefault="00D5138B" w:rsidP="00D5138B">
            <w:pPr>
              <w:pStyle w:val="NormalWeb"/>
              <w:rPr>
                <w:rFonts w:asciiTheme="minorHAnsi" w:hAnsiTheme="minorHAnsi"/>
                <w:b/>
                <w:sz w:val="22"/>
                <w:szCs w:val="22"/>
              </w:rPr>
            </w:pPr>
            <w:r>
              <w:rPr>
                <w:rFonts w:asciiTheme="minorHAnsi" w:hAnsiTheme="minorHAnsi"/>
                <w:b/>
                <w:sz w:val="22"/>
                <w:szCs w:val="22"/>
              </w:rPr>
              <w:t>3. What is the importance of privacy in forensic investigations? And which measures could be taken to achieve this?</w:t>
            </w:r>
          </w:p>
          <w:p w:rsidR="00D5138B" w:rsidRDefault="00D5138B" w:rsidP="00D5138B">
            <w:pPr>
              <w:pStyle w:val="NormalWeb"/>
              <w:rPr>
                <w:rFonts w:asciiTheme="minorHAnsi" w:hAnsiTheme="minorHAnsi"/>
                <w:sz w:val="22"/>
                <w:szCs w:val="22"/>
              </w:rPr>
            </w:pPr>
            <w:r>
              <w:rPr>
                <w:rFonts w:asciiTheme="minorHAnsi" w:hAnsiTheme="minorHAnsi"/>
                <w:sz w:val="22"/>
                <w:szCs w:val="22"/>
              </w:rPr>
              <w:t>When conducting an investigation, the forensic accounting investigator must be aware of the relevant privacy and data protection laws and must work closely with counsel to ensure that the company is not exposed to greater risk or liability during the investigation.  Two key points at the start of an investigation; will any portion of the evidence be subject to privilege and who will be responsible for preserving evidence and for how long?</w:t>
            </w:r>
          </w:p>
          <w:p w:rsidR="00D5138B" w:rsidRDefault="00D5138B" w:rsidP="00D5138B">
            <w:pPr>
              <w:pStyle w:val="NormalWeb"/>
              <w:rPr>
                <w:rFonts w:asciiTheme="minorHAnsi" w:hAnsiTheme="minorHAnsi"/>
                <w:sz w:val="22"/>
                <w:szCs w:val="22"/>
              </w:rPr>
            </w:pPr>
            <w:r>
              <w:rPr>
                <w:rFonts w:asciiTheme="minorHAnsi" w:hAnsiTheme="minorHAnsi"/>
                <w:sz w:val="22"/>
                <w:szCs w:val="22"/>
              </w:rPr>
              <w:t>The forensic accounting team members should not disclose information to others who have no role in the investigation and should not discuss the matter with personnel without the permission of counsel.</w:t>
            </w:r>
          </w:p>
          <w:p w:rsidR="00D5138B" w:rsidRDefault="00D5138B" w:rsidP="00D5138B">
            <w:pPr>
              <w:pStyle w:val="NormalWeb"/>
              <w:rPr>
                <w:rFonts w:asciiTheme="minorHAnsi" w:hAnsiTheme="minorHAnsi"/>
                <w:sz w:val="22"/>
                <w:szCs w:val="22"/>
              </w:rPr>
            </w:pPr>
            <w:r>
              <w:rPr>
                <w:rFonts w:asciiTheme="minorHAnsi" w:hAnsiTheme="minorHAnsi"/>
                <w:sz w:val="22"/>
                <w:szCs w:val="22"/>
              </w:rPr>
              <w:t>In the ordinary course of business, transactions are executed, acquisitions and sales are made, accounting systems are modified, updated or replaced, so care needs to be given to exactly what documents and files need to be retained along with consideration to how and who is responsible.</w:t>
            </w:r>
          </w:p>
          <w:p w:rsidR="00D5138B" w:rsidRDefault="00D5138B" w:rsidP="00D5138B">
            <w:pPr>
              <w:spacing w:before="100" w:beforeAutospacing="1" w:after="100" w:afterAutospacing="1"/>
              <w:rPr>
                <w:rFonts w:eastAsia="Times New Roman" w:cs="Times New Roman"/>
              </w:rPr>
            </w:pPr>
            <w:r>
              <w:t xml:space="preserve">In collecting files or documents from employees, documents of an obviously personal nature, such as personal bank statements may be encountered.  In general this would be outside the scope of the investigation and should be set aside until counsels advice is sought.  The data protection act outlines that data must be processed fairly and lawfully, processed for limited purposes, adequate, relevant and not excessive, accurate, not kept for longer than necessary, processed in </w:t>
            </w:r>
            <w:r>
              <w:lastRenderedPageBreak/>
              <w:t xml:space="preserve">line with the subjects’ rights and secure.  </w:t>
            </w:r>
            <w:r>
              <w:rPr>
                <w:rFonts w:eastAsia="Times New Roman" w:cs="Times New Roman"/>
              </w:rPr>
              <w:t xml:space="preserve">There is a general exemption under the Data Protection Act that allows you to disclose personal information in connection with the prevention or detection of crime; apprehension or prosecution of offenders or the assessment or collection of any tax or duty.  However, the exemption only applies if withholding this information is likely to have a severe prejudicial effect on the criminal proceedings, something which can only be determined on a case-by-case basis and again legal counsel should be sought before excising this exemption. </w:t>
            </w:r>
          </w:p>
          <w:p w:rsidR="00D5138B" w:rsidRDefault="00D5138B" w:rsidP="00D5138B">
            <w:pPr>
              <w:pStyle w:val="NormalWeb"/>
              <w:rPr>
                <w:rFonts w:asciiTheme="minorHAnsi" w:eastAsiaTheme="minorHAnsi" w:hAnsiTheme="minorHAnsi"/>
                <w:sz w:val="22"/>
                <w:szCs w:val="22"/>
                <w:lang w:eastAsia="en-US"/>
              </w:rPr>
            </w:pPr>
            <w:r>
              <w:rPr>
                <w:rFonts w:asciiTheme="minorHAnsi" w:hAnsiTheme="minorHAnsi"/>
                <w:sz w:val="22"/>
                <w:szCs w:val="22"/>
              </w:rPr>
              <w:t>Rigorously controlled evidence gathering is the infrastructure on which the credibility of the evidence rests.  Keeping appropriate records of the chain of custody and following the correct protocol and procedures requires consistency and discipline from all of the forensic team.</w:t>
            </w:r>
          </w:p>
          <w:p w:rsidR="00D5138B" w:rsidRDefault="00D5138B" w:rsidP="00D5138B">
            <w:pPr>
              <w:pStyle w:val="NormalWeb"/>
              <w:rPr>
                <w:rFonts w:asciiTheme="minorHAnsi" w:hAnsiTheme="minorHAnsi"/>
                <w:sz w:val="22"/>
                <w:szCs w:val="22"/>
              </w:rPr>
            </w:pPr>
          </w:p>
          <w:p w:rsidR="00D5138B" w:rsidRDefault="00D5138B" w:rsidP="00D5138B"/>
          <w:p w:rsidR="00D5138B" w:rsidRDefault="00D5138B" w:rsidP="00D5138B">
            <w:r>
              <w:t xml:space="preserve"> </w:t>
            </w:r>
          </w:p>
          <w:p w:rsidR="00D5138B" w:rsidRDefault="00D5138B" w:rsidP="00D5138B">
            <w:pPr>
              <w:pStyle w:val="ListParagraph"/>
              <w:ind w:left="1080"/>
            </w:pPr>
          </w:p>
          <w:p w:rsidR="00D5138B" w:rsidRDefault="00D5138B" w:rsidP="00D5138B">
            <w:pPr>
              <w:pStyle w:val="ListParagraph"/>
              <w:ind w:left="1080"/>
            </w:pPr>
          </w:p>
          <w:p w:rsidR="00196CC3" w:rsidRPr="00FB644D" w:rsidRDefault="00196CC3" w:rsidP="00196CC3">
            <w:pPr>
              <w:rPr>
                <w:b/>
              </w:rPr>
            </w:pPr>
          </w:p>
          <w:p w:rsidR="001222AB" w:rsidRDefault="001222AB" w:rsidP="001222AB"/>
          <w:p w:rsidR="00CC2FB3" w:rsidRDefault="00CC2FB3" w:rsidP="001222AB">
            <w:pPr>
              <w:pStyle w:val="NoSpacing"/>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4"/>
        <w:gridCol w:w="1249"/>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0A779D" w:rsidRDefault="000A779D" w:rsidP="00A851DA">
            <w:pPr>
              <w:rPr>
                <w:rFonts w:ascii="Vladimir Script" w:hAnsi="Vladimir Script" w:cs="Bliss-Regular"/>
                <w:b/>
                <w:color w:val="000000"/>
                <w:sz w:val="28"/>
                <w:szCs w:val="28"/>
              </w:rPr>
            </w:pPr>
            <w:r w:rsidRPr="000A779D">
              <w:rPr>
                <w:rFonts w:ascii="Vladimir Script" w:hAnsi="Vladimir Script" w:cs="Bliss-Regular"/>
                <w:b/>
                <w:color w:val="000000"/>
                <w:sz w:val="28"/>
                <w:szCs w:val="28"/>
              </w:rPr>
              <w:t>Julie Bowmer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5138B" w:rsidP="00D5138B">
            <w:pPr>
              <w:rPr>
                <w:rFonts w:cs="Bliss-Regular"/>
                <w:color w:val="000000"/>
              </w:rPr>
            </w:pPr>
            <w:r>
              <w:rPr>
                <w:rFonts w:cs="Bliss-Regular"/>
                <w:color w:val="000000"/>
              </w:rPr>
              <w:t>07</w:t>
            </w:r>
            <w:r w:rsidR="000A779D">
              <w:rPr>
                <w:rFonts w:cs="Bliss-Regular"/>
                <w:color w:val="000000"/>
              </w:rPr>
              <w:t>/</w:t>
            </w:r>
            <w:r w:rsidR="00A7002D">
              <w:rPr>
                <w:rFonts w:cs="Bliss-Regular"/>
                <w:color w:val="000000"/>
              </w:rPr>
              <w:t>0</w:t>
            </w:r>
            <w:r>
              <w:rPr>
                <w:rFonts w:cs="Bliss-Regular"/>
                <w:color w:val="000000"/>
              </w:rPr>
              <w:t>6</w:t>
            </w:r>
            <w:r w:rsidR="000A779D">
              <w:rPr>
                <w:rFonts w:cs="Bliss-Regular"/>
                <w:color w:val="000000"/>
              </w:rPr>
              <w:t>/201</w:t>
            </w:r>
            <w:r w:rsidR="00A7002D">
              <w:rPr>
                <w:rFonts w:cs="Bliss-Regular"/>
                <w:color w:val="000000"/>
              </w:rPr>
              <w:t>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bookmarkStart w:id="0" w:name="_GoBack"/>
      <w:bookmarkEnd w:id="0"/>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5087" w:rsidRDefault="006D5087" w:rsidP="00CB4D0A">
      <w:pPr>
        <w:spacing w:after="0" w:line="240" w:lineRule="auto"/>
      </w:pPr>
      <w:r>
        <w:separator/>
      </w:r>
    </w:p>
  </w:endnote>
  <w:endnote w:type="continuationSeparator" w:id="0">
    <w:p w:rsidR="006D5087" w:rsidRDefault="006D508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Vladimir Script">
    <w:panose1 w:val="03050402040407070305"/>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5087" w:rsidRDefault="006D5087" w:rsidP="00CB4D0A">
      <w:pPr>
        <w:spacing w:after="0" w:line="240" w:lineRule="auto"/>
      </w:pPr>
      <w:r>
        <w:separator/>
      </w:r>
    </w:p>
  </w:footnote>
  <w:footnote w:type="continuationSeparator" w:id="0">
    <w:p w:rsidR="006D5087" w:rsidRDefault="006D508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FE200A"/>
    <w:multiLevelType w:val="hybridMultilevel"/>
    <w:tmpl w:val="F0BCF4F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34084322"/>
    <w:multiLevelType w:val="hybridMultilevel"/>
    <w:tmpl w:val="26B4447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377375A2"/>
    <w:multiLevelType w:val="hybridMultilevel"/>
    <w:tmpl w:val="2AF450A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3FC478AA"/>
    <w:multiLevelType w:val="hybridMultilevel"/>
    <w:tmpl w:val="D592F3EE"/>
    <w:lvl w:ilvl="0" w:tplc="27429314">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18D00F3"/>
    <w:multiLevelType w:val="hybridMultilevel"/>
    <w:tmpl w:val="75C80FB8"/>
    <w:lvl w:ilvl="0" w:tplc="307A1EA8">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7D586D9E"/>
    <w:multiLevelType w:val="hybridMultilevel"/>
    <w:tmpl w:val="04BE5666"/>
    <w:lvl w:ilvl="0" w:tplc="23C823FC">
      <w:start w:val="1"/>
      <w:numFmt w:val="lowerRoman"/>
      <w:lvlText w:val="%1."/>
      <w:lvlJc w:val="left"/>
      <w:pPr>
        <w:ind w:left="1146"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252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A4529"/>
    <w:rsid w:val="000A779D"/>
    <w:rsid w:val="001175EE"/>
    <w:rsid w:val="001222AB"/>
    <w:rsid w:val="00157CF6"/>
    <w:rsid w:val="00182416"/>
    <w:rsid w:val="00187EB4"/>
    <w:rsid w:val="00196CC3"/>
    <w:rsid w:val="001F0481"/>
    <w:rsid w:val="0020451E"/>
    <w:rsid w:val="00206B9D"/>
    <w:rsid w:val="002114B7"/>
    <w:rsid w:val="0023259C"/>
    <w:rsid w:val="002B0BD7"/>
    <w:rsid w:val="002B573D"/>
    <w:rsid w:val="002C5CB2"/>
    <w:rsid w:val="002F779F"/>
    <w:rsid w:val="00342AF9"/>
    <w:rsid w:val="00371885"/>
    <w:rsid w:val="003E2B87"/>
    <w:rsid w:val="003E30E1"/>
    <w:rsid w:val="00405895"/>
    <w:rsid w:val="004058DF"/>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823A7"/>
    <w:rsid w:val="006D5087"/>
    <w:rsid w:val="0070347F"/>
    <w:rsid w:val="0070678E"/>
    <w:rsid w:val="00831C11"/>
    <w:rsid w:val="00853264"/>
    <w:rsid w:val="008A60B4"/>
    <w:rsid w:val="008B3C31"/>
    <w:rsid w:val="008B64FE"/>
    <w:rsid w:val="00935BF7"/>
    <w:rsid w:val="0095442C"/>
    <w:rsid w:val="00983942"/>
    <w:rsid w:val="009C37E0"/>
    <w:rsid w:val="00A14B66"/>
    <w:rsid w:val="00A61866"/>
    <w:rsid w:val="00A65CF7"/>
    <w:rsid w:val="00A7002D"/>
    <w:rsid w:val="00A851DA"/>
    <w:rsid w:val="00AC7D5B"/>
    <w:rsid w:val="00AE1481"/>
    <w:rsid w:val="00B0415E"/>
    <w:rsid w:val="00B04678"/>
    <w:rsid w:val="00BC46DF"/>
    <w:rsid w:val="00C03577"/>
    <w:rsid w:val="00C65FEA"/>
    <w:rsid w:val="00CA0AC2"/>
    <w:rsid w:val="00CB4D0A"/>
    <w:rsid w:val="00CC2FB3"/>
    <w:rsid w:val="00CC575A"/>
    <w:rsid w:val="00D039AC"/>
    <w:rsid w:val="00D14717"/>
    <w:rsid w:val="00D427DE"/>
    <w:rsid w:val="00D5138B"/>
    <w:rsid w:val="00D5544D"/>
    <w:rsid w:val="00D5587D"/>
    <w:rsid w:val="00D707CC"/>
    <w:rsid w:val="00D821FE"/>
    <w:rsid w:val="00DB0793"/>
    <w:rsid w:val="00DC357D"/>
    <w:rsid w:val="00E00821"/>
    <w:rsid w:val="00E04DB4"/>
    <w:rsid w:val="00E30679"/>
    <w:rsid w:val="00E4597D"/>
    <w:rsid w:val="00E54832"/>
    <w:rsid w:val="00E56A90"/>
    <w:rsid w:val="00E641CC"/>
    <w:rsid w:val="00EA30AB"/>
    <w:rsid w:val="00EB3925"/>
    <w:rsid w:val="00F5755A"/>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5:docId w15:val="{8BCA5B13-5EAE-41A3-8338-62415F41B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0A779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vr">
    <w:name w:val="hvr"/>
    <w:basedOn w:val="DefaultParagraphFont"/>
    <w:rsid w:val="000A779D"/>
  </w:style>
  <w:style w:type="character" w:customStyle="1" w:styleId="ilad">
    <w:name w:val="il_ad"/>
    <w:basedOn w:val="DefaultParagraphFont"/>
    <w:rsid w:val="000A779D"/>
  </w:style>
  <w:style w:type="paragraph" w:styleId="NoSpacing">
    <w:name w:val="No Spacing"/>
    <w:uiPriority w:val="1"/>
    <w:qFormat/>
    <w:rsid w:val="00D14717"/>
    <w:pPr>
      <w:spacing w:after="0" w:line="240" w:lineRule="auto"/>
    </w:pPr>
  </w:style>
  <w:style w:type="character" w:styleId="Strong">
    <w:name w:val="Strong"/>
    <w:basedOn w:val="DefaultParagraphFont"/>
    <w:uiPriority w:val="22"/>
    <w:qFormat/>
    <w:rsid w:val="001222AB"/>
    <w:rPr>
      <w:b/>
      <w:bCs/>
    </w:rPr>
  </w:style>
  <w:style w:type="character" w:customStyle="1" w:styleId="tgc">
    <w:name w:val="_tgc"/>
    <w:basedOn w:val="DefaultParagraphFont"/>
    <w:rsid w:val="00196C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495546">
      <w:bodyDiv w:val="1"/>
      <w:marLeft w:val="0"/>
      <w:marRight w:val="0"/>
      <w:marTop w:val="0"/>
      <w:marBottom w:val="0"/>
      <w:divBdr>
        <w:top w:val="none" w:sz="0" w:space="0" w:color="auto"/>
        <w:left w:val="none" w:sz="0" w:space="0" w:color="auto"/>
        <w:bottom w:val="none" w:sz="0" w:space="0" w:color="auto"/>
        <w:right w:val="none" w:sz="0" w:space="0" w:color="auto"/>
      </w:divBdr>
    </w:div>
    <w:div w:id="220554098">
      <w:bodyDiv w:val="1"/>
      <w:marLeft w:val="0"/>
      <w:marRight w:val="0"/>
      <w:marTop w:val="0"/>
      <w:marBottom w:val="0"/>
      <w:divBdr>
        <w:top w:val="none" w:sz="0" w:space="0" w:color="auto"/>
        <w:left w:val="none" w:sz="0" w:space="0" w:color="auto"/>
        <w:bottom w:val="none" w:sz="0" w:space="0" w:color="auto"/>
        <w:right w:val="none" w:sz="0" w:space="0" w:color="auto"/>
      </w:divBdr>
    </w:div>
    <w:div w:id="298654221">
      <w:bodyDiv w:val="1"/>
      <w:marLeft w:val="0"/>
      <w:marRight w:val="0"/>
      <w:marTop w:val="0"/>
      <w:marBottom w:val="0"/>
      <w:divBdr>
        <w:top w:val="none" w:sz="0" w:space="0" w:color="auto"/>
        <w:left w:val="none" w:sz="0" w:space="0" w:color="auto"/>
        <w:bottom w:val="none" w:sz="0" w:space="0" w:color="auto"/>
        <w:right w:val="none" w:sz="0" w:space="0" w:color="auto"/>
      </w:divBdr>
    </w:div>
    <w:div w:id="622537469">
      <w:bodyDiv w:val="1"/>
      <w:marLeft w:val="0"/>
      <w:marRight w:val="0"/>
      <w:marTop w:val="0"/>
      <w:marBottom w:val="0"/>
      <w:divBdr>
        <w:top w:val="none" w:sz="0" w:space="0" w:color="auto"/>
        <w:left w:val="none" w:sz="0" w:space="0" w:color="auto"/>
        <w:bottom w:val="none" w:sz="0" w:space="0" w:color="auto"/>
        <w:right w:val="none" w:sz="0" w:space="0" w:color="auto"/>
      </w:divBdr>
    </w:div>
    <w:div w:id="1227035638">
      <w:bodyDiv w:val="1"/>
      <w:marLeft w:val="0"/>
      <w:marRight w:val="0"/>
      <w:marTop w:val="0"/>
      <w:marBottom w:val="0"/>
      <w:divBdr>
        <w:top w:val="none" w:sz="0" w:space="0" w:color="auto"/>
        <w:left w:val="none" w:sz="0" w:space="0" w:color="auto"/>
        <w:bottom w:val="none" w:sz="0" w:space="0" w:color="auto"/>
        <w:right w:val="none" w:sz="0" w:space="0" w:color="auto"/>
      </w:divBdr>
    </w:div>
    <w:div w:id="145498042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D50C06-C42F-435F-A4EF-892D897C7C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1097</Words>
  <Characters>6257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Julie Bowmer MSc, FCMA, CGMA</cp:lastModifiedBy>
  <cp:revision>2</cp:revision>
  <dcterms:created xsi:type="dcterms:W3CDTF">2015-06-07T12:43:00Z</dcterms:created>
  <dcterms:modified xsi:type="dcterms:W3CDTF">2015-06-07T12:43:00Z</dcterms:modified>
</cp:coreProperties>
</file>