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273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2739">
            <w:pPr>
              <w:pStyle w:val="Default"/>
              <w:rPr>
                <w:rFonts w:asciiTheme="minorHAnsi" w:hAnsiTheme="minorHAnsi"/>
              </w:rPr>
            </w:pPr>
            <w:r>
              <w:rPr>
                <w:rFonts w:asciiTheme="minorHAnsi" w:hAnsiTheme="minorHAnsi"/>
              </w:rPr>
              <w:t xml:space="preserve">Antonia McIntyre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A2952">
            <w:pPr>
              <w:pStyle w:val="Default"/>
              <w:rPr>
                <w:rFonts w:asciiTheme="minorHAnsi" w:hAnsiTheme="minorHAnsi"/>
              </w:rPr>
            </w:pPr>
            <w:r>
              <w:rPr>
                <w:rFonts w:asciiTheme="minorHAnsi" w:hAnsiTheme="minorHAnsi"/>
              </w:rPr>
              <w:t>1410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2952">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72C9">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91F7F" w:rsidRPr="00720730" w:rsidRDefault="00891F7F" w:rsidP="00891F7F">
            <w:pPr>
              <w:pStyle w:val="ListParagraph"/>
              <w:numPr>
                <w:ilvl w:val="0"/>
                <w:numId w:val="3"/>
              </w:numPr>
              <w:pBdr>
                <w:top w:val="nil"/>
                <w:left w:val="nil"/>
                <w:bottom w:val="nil"/>
                <w:right w:val="nil"/>
                <w:between w:val="nil"/>
                <w:bar w:val="nil"/>
              </w:pBdr>
              <w:ind w:left="426" w:hanging="426"/>
              <w:contextualSpacing w:val="0"/>
              <w:jc w:val="both"/>
              <w:rPr>
                <w:rFonts w:ascii="Arial" w:hAnsi="Arial" w:cs="Arial"/>
                <w:b/>
                <w:sz w:val="24"/>
                <w:szCs w:val="24"/>
              </w:rPr>
            </w:pPr>
            <w:r w:rsidRPr="00720730">
              <w:rPr>
                <w:rFonts w:ascii="Arial" w:hAnsi="Arial" w:cs="Arial"/>
                <w:b/>
                <w:color w:val="000000"/>
                <w:sz w:val="24"/>
                <w:szCs w:val="24"/>
                <w:u w:color="000000"/>
              </w:rPr>
              <w:t>Short answers:</w:t>
            </w:r>
          </w:p>
          <w:p w:rsidR="00891F7F" w:rsidRPr="00891F7F" w:rsidRDefault="00891F7F" w:rsidP="00891F7F">
            <w:pPr>
              <w:pStyle w:val="ListParagraph"/>
              <w:jc w:val="both"/>
              <w:rPr>
                <w:rFonts w:ascii="Arial" w:hAnsi="Arial" w:cs="Arial"/>
                <w:sz w:val="24"/>
                <w:szCs w:val="24"/>
              </w:rPr>
            </w:pPr>
          </w:p>
          <w:p w:rsidR="008B72C9" w:rsidRPr="00720730" w:rsidRDefault="008B72C9" w:rsidP="008B72C9">
            <w:pPr>
              <w:pStyle w:val="BodyA"/>
              <w:jc w:val="both"/>
              <w:rPr>
                <w:rFonts w:ascii="Arial" w:hAnsi="Arial" w:cs="Arial"/>
                <w:b/>
                <w:sz w:val="24"/>
                <w:szCs w:val="24"/>
              </w:rPr>
            </w:pPr>
            <w:r w:rsidRPr="00720730">
              <w:rPr>
                <w:rFonts w:ascii="Arial" w:hAnsi="Arial" w:cs="Arial"/>
                <w:b/>
                <w:sz w:val="24"/>
                <w:szCs w:val="24"/>
              </w:rPr>
              <w:t>I. Explain the term ‘</w:t>
            </w:r>
            <w:r w:rsidRPr="00720730">
              <w:rPr>
                <w:rFonts w:ascii="Arial" w:hAnsi="Arial" w:cs="Arial"/>
                <w:b/>
                <w:sz w:val="24"/>
                <w:szCs w:val="24"/>
                <w:lang w:val="da-DK"/>
              </w:rPr>
              <w:t>fraud risk factors</w:t>
            </w:r>
            <w:r w:rsidRPr="00720730">
              <w:rPr>
                <w:rFonts w:ascii="Arial" w:hAnsi="Arial" w:cs="Arial"/>
                <w:b/>
                <w:sz w:val="24"/>
                <w:szCs w:val="24"/>
              </w:rPr>
              <w:t>’.</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SAS 99 – notes that there are three categories of fraud risk factors; management characteristics, industry characteristics and operating characteristics &amp; financial stability.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Management characteristics relate to managements motivation to commit fraud. This could be a result of onerous, unachievable targets, a poor relationship between management and external auditors or high turnover of staff a</w:t>
            </w:r>
            <w:r>
              <w:rPr>
                <w:rFonts w:ascii="Arial" w:hAnsi="Arial" w:cs="Arial"/>
                <w:sz w:val="24"/>
                <w:szCs w:val="24"/>
              </w:rPr>
              <w:t xml:space="preserve">t a senior management level.  </w:t>
            </w:r>
            <w:r w:rsidRPr="008B72C9">
              <w:rPr>
                <w:rFonts w:ascii="Arial" w:hAnsi="Arial" w:cs="Arial"/>
                <w:sz w:val="24"/>
                <w:szCs w:val="24"/>
              </w:rPr>
              <w:t xml:space="preserve">If there is evidence of any of these factors, the risk of fraud will be higher.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Industry characteristics relate to pressures within industry in terms of both economic and regulatory pressures.  It may be that there is increased competition, a saturated marketplace, or the introduction of increased regulation making it more difficult to perform effectively.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Operating characteristics and financial stability will include geographical location of firm, locations of divisions, the nature of the business and complexity of its operations.  </w:t>
            </w:r>
          </w:p>
          <w:p w:rsidR="008B72C9" w:rsidRPr="008B72C9" w:rsidRDefault="008B72C9" w:rsidP="008B72C9">
            <w:pPr>
              <w:pStyle w:val="BodyA"/>
              <w:jc w:val="both"/>
              <w:rPr>
                <w:rFonts w:ascii="Arial" w:hAnsi="Arial" w:cs="Arial"/>
                <w:sz w:val="24"/>
                <w:szCs w:val="24"/>
              </w:rPr>
            </w:pPr>
          </w:p>
          <w:p w:rsidR="008B72C9" w:rsidRPr="00720730" w:rsidRDefault="008B72C9" w:rsidP="008B72C9">
            <w:pPr>
              <w:pStyle w:val="BodyA"/>
              <w:jc w:val="both"/>
              <w:rPr>
                <w:rFonts w:ascii="Arial" w:hAnsi="Arial" w:cs="Arial"/>
                <w:b/>
                <w:sz w:val="24"/>
                <w:szCs w:val="24"/>
              </w:rPr>
            </w:pPr>
            <w:r w:rsidRPr="00720730">
              <w:rPr>
                <w:rFonts w:ascii="Arial" w:hAnsi="Arial" w:cs="Arial"/>
                <w:b/>
                <w:sz w:val="24"/>
                <w:szCs w:val="24"/>
              </w:rPr>
              <w:t>II. What control mechanisms could be adopted against corruption?</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Corruption can be difficult to detect, it can come in the form of a bribe by a supplier in return for being awarded a contract. On paper there will not appear to be any fraud going on, goods or services will be supplied, the associated invoices raised and the payments made will all adhere to the contract.  The supplier may pay cash or provide other benefits to the employee directly but within the company there is no paper trail evidencing the fraud.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Internal controls can be put into place around the awarding of contracts, or choosing of vendors to supply specific goods or services.  Examples of internal controls to mitigate b</w:t>
            </w:r>
            <w:r>
              <w:rPr>
                <w:rFonts w:ascii="Arial" w:hAnsi="Arial" w:cs="Arial"/>
                <w:sz w:val="24"/>
                <w:szCs w:val="24"/>
              </w:rPr>
              <w:t xml:space="preserve">ribery and corruption could be </w:t>
            </w:r>
            <w:r w:rsidRPr="008B72C9">
              <w:rPr>
                <w:rFonts w:ascii="Arial" w:hAnsi="Arial" w:cs="Arial"/>
                <w:sz w:val="24"/>
                <w:szCs w:val="24"/>
              </w:rPr>
              <w:t xml:space="preserve">to ensure that the reviewers of tenders are independent to the staff who have an ongoing relationship with the suppliers. </w:t>
            </w:r>
            <w:r>
              <w:rPr>
                <w:rFonts w:ascii="Arial" w:hAnsi="Arial" w:cs="Arial"/>
                <w:sz w:val="24"/>
                <w:szCs w:val="24"/>
              </w:rPr>
              <w:t xml:space="preserve"> </w:t>
            </w:r>
            <w:r w:rsidRPr="008B72C9">
              <w:rPr>
                <w:rFonts w:ascii="Arial" w:hAnsi="Arial" w:cs="Arial"/>
                <w:sz w:val="24"/>
                <w:szCs w:val="24"/>
              </w:rPr>
              <w:t>Sealed bids can be requested or a separate secure fax machine may be used to receive bids or tenders.  Staff rotation will also reduce the risk of bribery.  Bidders should be encouraged to report any attempts made by a member of staff to bribe them.</w:t>
            </w:r>
            <w:r>
              <w:rPr>
                <w:rFonts w:ascii="Arial" w:hAnsi="Arial" w:cs="Arial"/>
                <w:sz w:val="24"/>
                <w:szCs w:val="24"/>
              </w:rPr>
              <w:t xml:space="preserve"> </w:t>
            </w:r>
            <w:r w:rsidRPr="008B72C9">
              <w:rPr>
                <w:rFonts w:ascii="Arial" w:hAnsi="Arial" w:cs="Arial"/>
                <w:sz w:val="24"/>
                <w:szCs w:val="24"/>
              </w:rPr>
              <w:t xml:space="preserve">  Management and auditors should review contracts periodically by comparing price with other similar contracts either within the organisation or benchmark against others in the industry.  The same supplier being used across a number of contracts may also be a warning sign and merit further investigation.  An employee living out with their means may also be a factor that merits further investigation.</w:t>
            </w:r>
          </w:p>
          <w:p w:rsidR="008B72C9" w:rsidRPr="008B72C9" w:rsidRDefault="008B72C9" w:rsidP="008B72C9">
            <w:pPr>
              <w:pStyle w:val="BodyA"/>
              <w:jc w:val="both"/>
              <w:rPr>
                <w:rFonts w:ascii="Arial" w:hAnsi="Arial" w:cs="Arial"/>
                <w:sz w:val="24"/>
                <w:szCs w:val="24"/>
              </w:rPr>
            </w:pPr>
          </w:p>
          <w:p w:rsidR="008B72C9" w:rsidRPr="00720730" w:rsidRDefault="008B72C9" w:rsidP="008B72C9">
            <w:pPr>
              <w:pStyle w:val="BodyA"/>
              <w:jc w:val="both"/>
              <w:rPr>
                <w:rFonts w:ascii="Arial" w:hAnsi="Arial" w:cs="Arial"/>
                <w:b/>
                <w:sz w:val="24"/>
                <w:szCs w:val="24"/>
              </w:rPr>
            </w:pPr>
            <w:r w:rsidRPr="00720730">
              <w:rPr>
                <w:rFonts w:ascii="Arial" w:hAnsi="Arial" w:cs="Arial"/>
                <w:b/>
                <w:sz w:val="24"/>
                <w:szCs w:val="24"/>
              </w:rPr>
              <w:t>III. Outline the main benefits of using analytic procedures in audit process.</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Analytic procedures allow an auditor to assess the company's ability to continue to trade as a going concern.  They allow the auditor to identify areas where more detailed testing is required where the analytical procedure has identified irregularities or errors.  They also assist in the identification of unexpected relationships when comparing year on year or across industry standards.</w:t>
            </w:r>
          </w:p>
          <w:p w:rsidR="008B72C9" w:rsidRPr="008B72C9" w:rsidRDefault="008B72C9" w:rsidP="008B72C9">
            <w:pPr>
              <w:pStyle w:val="BodyA"/>
              <w:jc w:val="both"/>
              <w:rPr>
                <w:rFonts w:ascii="Arial" w:hAnsi="Arial" w:cs="Arial"/>
                <w:sz w:val="24"/>
                <w:szCs w:val="24"/>
              </w:rPr>
            </w:pPr>
          </w:p>
          <w:p w:rsidR="008B72C9" w:rsidRPr="00720730" w:rsidRDefault="008B72C9" w:rsidP="008B72C9">
            <w:pPr>
              <w:pStyle w:val="BodyA"/>
              <w:jc w:val="both"/>
              <w:rPr>
                <w:rFonts w:ascii="Arial" w:hAnsi="Arial" w:cs="Arial"/>
                <w:b/>
                <w:sz w:val="24"/>
                <w:szCs w:val="24"/>
              </w:rPr>
            </w:pPr>
            <w:r w:rsidRPr="00720730">
              <w:rPr>
                <w:rFonts w:ascii="Arial" w:hAnsi="Arial" w:cs="Arial"/>
                <w:b/>
                <w:sz w:val="24"/>
                <w:szCs w:val="24"/>
              </w:rPr>
              <w:t>IV. What are the common rationalisations for a fraudster which tempt him to commit</w:t>
            </w:r>
          </w:p>
          <w:p w:rsidR="008B72C9" w:rsidRPr="00720730" w:rsidRDefault="008B72C9" w:rsidP="008B72C9">
            <w:pPr>
              <w:pStyle w:val="BodyA"/>
              <w:jc w:val="both"/>
              <w:rPr>
                <w:rFonts w:ascii="Arial" w:hAnsi="Arial" w:cs="Arial"/>
                <w:b/>
                <w:sz w:val="24"/>
                <w:szCs w:val="24"/>
                <w:lang w:val="de-DE"/>
              </w:rPr>
            </w:pPr>
            <w:r w:rsidRPr="00720730">
              <w:rPr>
                <w:rFonts w:ascii="Arial" w:hAnsi="Arial" w:cs="Arial"/>
                <w:b/>
                <w:sz w:val="24"/>
                <w:szCs w:val="24"/>
                <w:lang w:val="de-DE"/>
              </w:rPr>
              <w:t>fraud?</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An employee may commit fraud because of the attitude and behaviour of senior management, it may be that the employee believes that management are committing fraud the themselves, 'if they are at it why not me'.  There may also be a perception that senior managers do not deal with other instances of fraud.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The employees' personal ethical values will also be a factor, if they feel </w:t>
            </w:r>
            <w:r w:rsidRPr="008B72C9">
              <w:rPr>
                <w:rFonts w:ascii="Arial" w:hAnsi="Arial" w:cs="Arial"/>
                <w:sz w:val="24"/>
                <w:szCs w:val="24"/>
              </w:rPr>
              <w:t>underpaid</w:t>
            </w:r>
            <w:r w:rsidRPr="008B72C9">
              <w:rPr>
                <w:rFonts w:ascii="Arial" w:hAnsi="Arial" w:cs="Arial"/>
                <w:sz w:val="24"/>
                <w:szCs w:val="24"/>
              </w:rPr>
              <w:t xml:space="preserve"> or undervalued, they may convince themselves that they deserve more from the organisation and therefore fraud is rationalised.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Another rationalisation may co</w:t>
            </w:r>
            <w:r>
              <w:rPr>
                <w:rFonts w:ascii="Arial" w:hAnsi="Arial" w:cs="Arial"/>
                <w:sz w:val="24"/>
                <w:szCs w:val="24"/>
              </w:rPr>
              <w:t>me form the employee convincing</w:t>
            </w:r>
            <w:r w:rsidRPr="008B72C9">
              <w:rPr>
                <w:rFonts w:ascii="Arial" w:hAnsi="Arial" w:cs="Arial"/>
                <w:sz w:val="24"/>
                <w:szCs w:val="24"/>
              </w:rPr>
              <w:t xml:space="preserve"> them-self that they are just borrowing the cash assets and will pay it back later.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Other factors will include insecurity in job perhaps due to poor company performance, or down sizing within organisation.  Unrealistic, unachievable </w:t>
            </w:r>
            <w:r w:rsidRPr="008B72C9">
              <w:rPr>
                <w:rFonts w:ascii="Arial" w:hAnsi="Arial" w:cs="Arial"/>
                <w:sz w:val="24"/>
                <w:szCs w:val="24"/>
              </w:rPr>
              <w:t>budgets</w:t>
            </w:r>
            <w:r w:rsidRPr="008B72C9">
              <w:rPr>
                <w:rFonts w:ascii="Arial" w:hAnsi="Arial" w:cs="Arial"/>
                <w:sz w:val="24"/>
                <w:szCs w:val="24"/>
              </w:rPr>
              <w:t xml:space="preserve"> or poor ethical values within the organisation.  It may simply be that they consider that the fraud won't be noticed.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Where fraud is being committed in order to make the financial performance appear better/worse and the intention is that fictitious entries will be reversed in next accounting period management will rationalise the action because it's for the good of the company overall and won't do any material harm. </w:t>
            </w:r>
          </w:p>
          <w:p w:rsidR="008B72C9" w:rsidRPr="008B72C9" w:rsidRDefault="008B72C9" w:rsidP="008B72C9">
            <w:pPr>
              <w:pStyle w:val="BodyA"/>
              <w:rPr>
                <w:rFonts w:ascii="Arial" w:hAnsi="Arial" w:cs="Arial"/>
                <w:sz w:val="24"/>
                <w:szCs w:val="24"/>
              </w:rPr>
            </w:pPr>
          </w:p>
          <w:p w:rsidR="008B72C9" w:rsidRPr="00720730" w:rsidRDefault="008B72C9" w:rsidP="008B72C9">
            <w:pPr>
              <w:pStyle w:val="BodyA"/>
              <w:jc w:val="both"/>
              <w:rPr>
                <w:rFonts w:ascii="Arial" w:hAnsi="Arial" w:cs="Arial"/>
                <w:b/>
                <w:sz w:val="24"/>
                <w:szCs w:val="24"/>
              </w:rPr>
            </w:pPr>
            <w:r w:rsidRPr="00720730">
              <w:rPr>
                <w:rFonts w:ascii="Arial" w:hAnsi="Arial" w:cs="Arial"/>
                <w:b/>
                <w:sz w:val="24"/>
                <w:szCs w:val="24"/>
              </w:rPr>
              <w:t>V. Outline the important points to be considered when evaluating fraud risk factors.</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The auditor needs to understand the business, the environment in which it operates, the internal controls which are already in place, the culture of the organisation, and be aware at every stage of the audit of the risk factors.</w:t>
            </w:r>
          </w:p>
          <w:p w:rsidR="008B72C9" w:rsidRPr="008B72C9" w:rsidRDefault="008B72C9" w:rsidP="008B72C9">
            <w:pPr>
              <w:pStyle w:val="BodyA"/>
              <w:jc w:val="both"/>
              <w:rPr>
                <w:rFonts w:ascii="Arial" w:hAnsi="Arial" w:cs="Arial"/>
                <w:sz w:val="24"/>
                <w:szCs w:val="24"/>
              </w:rPr>
            </w:pPr>
          </w:p>
          <w:p w:rsidR="008B72C9" w:rsidRPr="00720730" w:rsidRDefault="008B72C9" w:rsidP="008B72C9">
            <w:pPr>
              <w:pStyle w:val="BodyA"/>
              <w:jc w:val="both"/>
              <w:rPr>
                <w:rFonts w:ascii="Arial" w:hAnsi="Arial" w:cs="Arial"/>
                <w:b/>
                <w:sz w:val="24"/>
                <w:szCs w:val="24"/>
              </w:rPr>
            </w:pPr>
            <w:r w:rsidRPr="00720730">
              <w:rPr>
                <w:rFonts w:ascii="Arial" w:hAnsi="Arial" w:cs="Arial"/>
                <w:b/>
                <w:sz w:val="24"/>
                <w:szCs w:val="24"/>
              </w:rPr>
              <w:t>VI. Analytic procedures are used throughout the audit process for three primary purposes.</w:t>
            </w:r>
            <w:r w:rsidRPr="00720730">
              <w:rPr>
                <w:rFonts w:ascii="Arial" w:hAnsi="Arial" w:cs="Arial"/>
                <w:b/>
                <w:sz w:val="24"/>
                <w:szCs w:val="24"/>
              </w:rPr>
              <w:t xml:space="preserve">  </w:t>
            </w:r>
            <w:r w:rsidRPr="00720730">
              <w:rPr>
                <w:rFonts w:ascii="Arial" w:hAnsi="Arial" w:cs="Arial"/>
                <w:b/>
                <w:sz w:val="24"/>
                <w:szCs w:val="24"/>
              </w:rPr>
              <w:t>What are they?</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Preliminary analytical procedures are used at the outset, these assist the auditors in identifying areas of high risk and low risk.  Initial analysis will determine which areas will merit detailed audit testing.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Substantive analytical procedures are the analysis of balances particularly in areas of perceived high risk.  These tests are more thorough and will confirm or rule out the high risk areas identified during the preliminary phase.</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Final analytical procedures will test the audit conclusion and allow auditors to consider if conclusions are correct.</w:t>
            </w:r>
          </w:p>
          <w:p w:rsidR="008B72C9" w:rsidRPr="008B72C9" w:rsidRDefault="008B72C9" w:rsidP="008B72C9">
            <w:pPr>
              <w:pStyle w:val="Body"/>
              <w:jc w:val="both"/>
              <w:rPr>
                <w:rFonts w:ascii="Arial" w:hAnsi="Arial" w:cs="Arial"/>
                <w:sz w:val="24"/>
                <w:szCs w:val="24"/>
              </w:rPr>
            </w:pPr>
          </w:p>
          <w:p w:rsidR="008B72C9" w:rsidRPr="00720730" w:rsidRDefault="008B72C9" w:rsidP="008B72C9">
            <w:pPr>
              <w:pStyle w:val="BodyA"/>
              <w:jc w:val="both"/>
              <w:rPr>
                <w:rFonts w:ascii="Arial" w:hAnsi="Arial" w:cs="Arial"/>
                <w:b/>
                <w:sz w:val="24"/>
                <w:szCs w:val="24"/>
              </w:rPr>
            </w:pPr>
            <w:r w:rsidRPr="00720730">
              <w:rPr>
                <w:rFonts w:ascii="Arial" w:hAnsi="Arial" w:cs="Arial"/>
                <w:b/>
                <w:sz w:val="24"/>
                <w:szCs w:val="24"/>
              </w:rPr>
              <w:t>2. ‘Circumstances may exist that create opportunities for management or other staff to commit</w:t>
            </w:r>
            <w:r w:rsidRPr="00720730">
              <w:rPr>
                <w:rFonts w:ascii="Arial" w:hAnsi="Arial" w:cs="Arial"/>
                <w:b/>
                <w:sz w:val="24"/>
                <w:szCs w:val="24"/>
              </w:rPr>
              <w:t xml:space="preserve"> </w:t>
            </w:r>
            <w:r w:rsidRPr="00720730">
              <w:rPr>
                <w:rFonts w:ascii="Arial" w:hAnsi="Arial" w:cs="Arial"/>
                <w:b/>
                <w:sz w:val="24"/>
                <w:szCs w:val="24"/>
              </w:rPr>
              <w:t>fraud</w:t>
            </w:r>
            <w:r w:rsidRPr="00720730">
              <w:rPr>
                <w:rFonts w:ascii="Arial" w:hAnsi="Arial" w:cs="Arial"/>
                <w:b/>
                <w:sz w:val="24"/>
                <w:szCs w:val="24"/>
              </w:rPr>
              <w:t>’. Discuss.</w:t>
            </w:r>
          </w:p>
          <w:p w:rsidR="008B72C9" w:rsidRPr="008B72C9" w:rsidRDefault="008B72C9" w:rsidP="008B72C9">
            <w:pPr>
              <w:pStyle w:val="BodyA"/>
              <w:jc w:val="both"/>
              <w:rPr>
                <w:rFonts w:ascii="Arial" w:hAnsi="Arial" w:cs="Arial"/>
                <w:sz w:val="24"/>
                <w:szCs w:val="24"/>
              </w:rPr>
            </w:pPr>
          </w:p>
          <w:p w:rsidR="00055D59" w:rsidRDefault="00055D59" w:rsidP="008B72C9">
            <w:pPr>
              <w:pStyle w:val="BodyA"/>
              <w:jc w:val="both"/>
              <w:rPr>
                <w:rFonts w:ascii="Arial" w:hAnsi="Arial" w:cs="Arial"/>
                <w:sz w:val="24"/>
                <w:szCs w:val="24"/>
              </w:rPr>
            </w:pPr>
            <w:r>
              <w:rPr>
                <w:rFonts w:ascii="Arial" w:hAnsi="Arial" w:cs="Arial"/>
                <w:sz w:val="24"/>
                <w:szCs w:val="24"/>
              </w:rPr>
              <w:t>The culture and make up of an o</w:t>
            </w:r>
            <w:r w:rsidR="008B72C9" w:rsidRPr="008B72C9">
              <w:rPr>
                <w:rFonts w:ascii="Arial" w:hAnsi="Arial" w:cs="Arial"/>
                <w:sz w:val="24"/>
                <w:szCs w:val="24"/>
              </w:rPr>
              <w:t>rganisation</w:t>
            </w:r>
            <w:r>
              <w:rPr>
                <w:rFonts w:ascii="Arial" w:hAnsi="Arial" w:cs="Arial"/>
                <w:sz w:val="24"/>
                <w:szCs w:val="24"/>
              </w:rPr>
              <w:t xml:space="preserve"> may create opportunities for management or other staff to commit fraud even if they wouldn’t typically commit fraud in other circumstances.   </w:t>
            </w:r>
          </w:p>
          <w:p w:rsidR="00055D59" w:rsidRDefault="00055D5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Circumstance which may create opportunities for </w:t>
            </w:r>
            <w:r w:rsidR="00055D59">
              <w:rPr>
                <w:rFonts w:ascii="Arial" w:hAnsi="Arial" w:cs="Arial"/>
                <w:sz w:val="24"/>
                <w:szCs w:val="24"/>
              </w:rPr>
              <w:t>individuals</w:t>
            </w:r>
            <w:r w:rsidRPr="008B72C9">
              <w:rPr>
                <w:rFonts w:ascii="Arial" w:hAnsi="Arial" w:cs="Arial"/>
                <w:sz w:val="24"/>
                <w:szCs w:val="24"/>
              </w:rPr>
              <w:t xml:space="preserve"> to com</w:t>
            </w:r>
            <w:r w:rsidR="00055D59">
              <w:rPr>
                <w:rFonts w:ascii="Arial" w:hAnsi="Arial" w:cs="Arial"/>
                <w:sz w:val="24"/>
                <w:szCs w:val="24"/>
              </w:rPr>
              <w:t xml:space="preserve">mit fraud will include a lack of internal controls, or the controls which have been put into place may be ineffective.  There may be a poor division of duties and a lack of effective supervision within the organisation creating opportunities for individuals to easily commit a fraud with little fear of the fraud being detected.  </w:t>
            </w:r>
          </w:p>
          <w:p w:rsidR="008B72C9" w:rsidRDefault="008B72C9" w:rsidP="008B72C9">
            <w:pPr>
              <w:pStyle w:val="BodyA"/>
              <w:jc w:val="both"/>
              <w:rPr>
                <w:rFonts w:ascii="Arial" w:hAnsi="Arial" w:cs="Arial"/>
                <w:sz w:val="24"/>
                <w:szCs w:val="24"/>
              </w:rPr>
            </w:pPr>
          </w:p>
          <w:p w:rsidR="00055D59" w:rsidRDefault="00055D59" w:rsidP="008B72C9">
            <w:pPr>
              <w:pStyle w:val="BodyA"/>
              <w:jc w:val="both"/>
              <w:rPr>
                <w:rFonts w:ascii="Arial" w:hAnsi="Arial" w:cs="Arial"/>
                <w:sz w:val="24"/>
                <w:szCs w:val="24"/>
              </w:rPr>
            </w:pPr>
            <w:r>
              <w:rPr>
                <w:rFonts w:ascii="Arial" w:hAnsi="Arial" w:cs="Arial"/>
                <w:sz w:val="24"/>
                <w:szCs w:val="24"/>
              </w:rPr>
              <w:t xml:space="preserve">The size and structure will also be a factor, organisations with multiple geographical locations will be more difficult to effectively monitor </w:t>
            </w:r>
            <w:r w:rsidR="00720730">
              <w:rPr>
                <w:rFonts w:ascii="Arial" w:hAnsi="Arial" w:cs="Arial"/>
                <w:sz w:val="24"/>
                <w:szCs w:val="24"/>
              </w:rPr>
              <w:t xml:space="preserve">than those that operate from a single location.  Transaction numbers will also be a factor which may create opportunity, numerous small transactions will be more difficult to effectively monitor than fewer large transactions.  </w:t>
            </w:r>
          </w:p>
          <w:p w:rsidR="00720730" w:rsidRDefault="00720730" w:rsidP="008B72C9">
            <w:pPr>
              <w:pStyle w:val="BodyA"/>
              <w:jc w:val="both"/>
              <w:rPr>
                <w:rFonts w:ascii="Arial" w:hAnsi="Arial" w:cs="Arial"/>
                <w:sz w:val="24"/>
                <w:szCs w:val="24"/>
              </w:rPr>
            </w:pPr>
          </w:p>
          <w:p w:rsidR="00720730" w:rsidRPr="008B72C9" w:rsidRDefault="00720730" w:rsidP="008B72C9">
            <w:pPr>
              <w:pStyle w:val="BodyA"/>
              <w:jc w:val="both"/>
              <w:rPr>
                <w:rFonts w:ascii="Arial" w:hAnsi="Arial" w:cs="Arial"/>
                <w:sz w:val="24"/>
                <w:szCs w:val="24"/>
              </w:rPr>
            </w:pPr>
            <w:r>
              <w:rPr>
                <w:rFonts w:ascii="Arial" w:hAnsi="Arial" w:cs="Arial"/>
                <w:sz w:val="24"/>
                <w:szCs w:val="24"/>
              </w:rPr>
              <w:t xml:space="preserve">The type of assets will also play a part, items that can be removed relatively easily such as cash will require effective controls to be put into place to ensure that the opportunity to misappropriate assets are minimised as far as possible. </w:t>
            </w:r>
          </w:p>
          <w:p w:rsidR="00055D59" w:rsidRDefault="00055D59" w:rsidP="008B72C9">
            <w:pPr>
              <w:pStyle w:val="BodyA"/>
              <w:jc w:val="both"/>
              <w:rPr>
                <w:rFonts w:ascii="Arial" w:hAnsi="Arial" w:cs="Arial"/>
                <w:sz w:val="24"/>
                <w:szCs w:val="24"/>
              </w:rPr>
            </w:pPr>
          </w:p>
          <w:p w:rsidR="00720730" w:rsidRDefault="00720730" w:rsidP="008B72C9">
            <w:pPr>
              <w:pStyle w:val="BodyA"/>
              <w:jc w:val="both"/>
              <w:rPr>
                <w:rFonts w:ascii="Arial" w:hAnsi="Arial" w:cs="Arial"/>
                <w:sz w:val="24"/>
                <w:szCs w:val="24"/>
              </w:rPr>
            </w:pPr>
            <w:r>
              <w:rPr>
                <w:rFonts w:ascii="Arial" w:hAnsi="Arial" w:cs="Arial"/>
                <w:sz w:val="24"/>
                <w:szCs w:val="24"/>
              </w:rPr>
              <w:t xml:space="preserve">A low level of external supervision from for example, audit committees, non executive directors may also encourage fraud, with the fraudster considering that there is a low risk of being found out. </w:t>
            </w:r>
          </w:p>
          <w:p w:rsidR="00720730" w:rsidRDefault="00720730" w:rsidP="008B72C9">
            <w:pPr>
              <w:pStyle w:val="BodyA"/>
              <w:jc w:val="both"/>
              <w:rPr>
                <w:rFonts w:ascii="Arial" w:hAnsi="Arial" w:cs="Arial"/>
                <w:sz w:val="24"/>
                <w:szCs w:val="24"/>
              </w:rPr>
            </w:pPr>
          </w:p>
          <w:p w:rsidR="00694A06" w:rsidRDefault="00694A06" w:rsidP="00891F7F">
            <w:pPr>
              <w:pStyle w:val="Body"/>
              <w:ind w:left="851" w:hanging="425"/>
              <w:jc w:val="both"/>
              <w:rPr>
                <w:rFonts w:ascii="Arial" w:hAnsi="Arial" w:cs="Arial"/>
                <w:sz w:val="24"/>
                <w:szCs w:val="24"/>
              </w:rPr>
            </w:pPr>
          </w:p>
          <w:p w:rsidR="008B72C9" w:rsidRPr="00720730" w:rsidRDefault="008B72C9" w:rsidP="008B72C9">
            <w:pPr>
              <w:pStyle w:val="BodyA"/>
              <w:jc w:val="both"/>
              <w:rPr>
                <w:rFonts w:ascii="Arial" w:hAnsi="Arial" w:cs="Arial"/>
                <w:b/>
                <w:sz w:val="24"/>
                <w:szCs w:val="24"/>
              </w:rPr>
            </w:pPr>
            <w:r w:rsidRPr="00720730">
              <w:rPr>
                <w:rFonts w:ascii="Arial" w:hAnsi="Arial" w:cs="Arial"/>
                <w:b/>
                <w:sz w:val="24"/>
                <w:szCs w:val="24"/>
              </w:rPr>
              <w:t>3. SAS 99 suggests that key sources for the identification of fraud risk factors are inquiries of management’ in this context which type of questions an auditor should ask the management?</w:t>
            </w:r>
          </w:p>
          <w:p w:rsidR="008B72C9" w:rsidRPr="00720730" w:rsidRDefault="008B72C9" w:rsidP="008B72C9">
            <w:pPr>
              <w:pStyle w:val="BodyA"/>
              <w:jc w:val="both"/>
              <w:rPr>
                <w:rFonts w:ascii="Arial" w:hAnsi="Arial" w:cs="Arial"/>
                <w:b/>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Auditors should directly ask if management are aware of any of actual fraud or allegations of fraud within the organisation, or if they are aware that the accounts have been misstated.  They should also investigate managers perception of risk within the organisation and ask the management to identify any areas that they feel are vulnerable to fraud.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The auditors should also ask what controls are on place and ascertain managements opinion as to the robustness of these controls.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The organisations ethics and values should be identified by the auditor, management should be asked if they buy into the ethics and values of the organisation and how these are communicated to staff throughout the organisation.</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Auditors should also question how the geographical locations or business segments are monitored by management.  They should ascertain if there are any location or segments of the organisation that are more susceptible to fraud.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Management should also be asked if there have been any reports to the audit committee or management of any issues with existing controls. Have management been asked to alter or withhold information?</w:t>
            </w:r>
          </w:p>
          <w:p w:rsidR="00E611B7" w:rsidRDefault="00E611B7" w:rsidP="009E5372">
            <w:pPr>
              <w:pStyle w:val="Body"/>
              <w:ind w:left="426"/>
              <w:jc w:val="both"/>
              <w:rPr>
                <w:rFonts w:ascii="Arial" w:eastAsia="Calibri,Bold" w:hAnsi="Arial" w:cs="Arial"/>
                <w:b/>
                <w:bCs/>
                <w:color w:val="auto"/>
                <w:sz w:val="24"/>
                <w:szCs w:val="24"/>
                <w:u w:color="C10000"/>
                <w:lang w:val="de-DE"/>
              </w:rPr>
            </w:pPr>
          </w:p>
          <w:p w:rsidR="00891F7F" w:rsidRPr="00891F7F" w:rsidRDefault="00891F7F" w:rsidP="00E611B7">
            <w:pPr>
              <w:pStyle w:val="Body"/>
              <w:jc w:val="both"/>
              <w:rPr>
                <w:rFonts w:ascii="Arial" w:hAnsi="Arial" w:cs="Arial"/>
                <w:sz w:val="24"/>
                <w:szCs w:val="24"/>
              </w:rPr>
            </w:pPr>
            <w:r w:rsidRPr="009E5372">
              <w:rPr>
                <w:rFonts w:ascii="Arial" w:eastAsia="Calibri,Bold" w:hAnsi="Arial" w:cs="Arial"/>
                <w:b/>
                <w:bCs/>
                <w:color w:val="auto"/>
                <w:sz w:val="24"/>
                <w:szCs w:val="24"/>
                <w:u w:color="C10000"/>
                <w:lang w:val="de-DE"/>
              </w:rPr>
              <w:t xml:space="preserve">Case Study </w:t>
            </w:r>
          </w:p>
          <w:p w:rsidR="00891F7F" w:rsidRPr="00891F7F" w:rsidRDefault="00891F7F" w:rsidP="009E5372">
            <w:pPr>
              <w:pStyle w:val="Body"/>
              <w:ind w:left="426"/>
              <w:jc w:val="both"/>
              <w:rPr>
                <w:rFonts w:ascii="Arial" w:hAnsi="Arial" w:cs="Arial"/>
                <w:sz w:val="24"/>
                <w:szCs w:val="24"/>
              </w:rPr>
            </w:pPr>
          </w:p>
          <w:p w:rsidR="008B72C9" w:rsidRDefault="008B72C9" w:rsidP="008B72C9">
            <w:pPr>
              <w:pStyle w:val="BodyA"/>
              <w:jc w:val="both"/>
            </w:pPr>
          </w:p>
          <w:p w:rsidR="008B72C9" w:rsidRPr="00720730" w:rsidRDefault="008B72C9" w:rsidP="008B72C9">
            <w:pPr>
              <w:pStyle w:val="ListParagraph"/>
              <w:numPr>
                <w:ilvl w:val="0"/>
                <w:numId w:val="9"/>
              </w:numPr>
              <w:pBdr>
                <w:top w:val="nil"/>
                <w:left w:val="nil"/>
                <w:bottom w:val="nil"/>
                <w:right w:val="nil"/>
                <w:between w:val="nil"/>
                <w:bar w:val="nil"/>
              </w:pBdr>
              <w:ind w:left="284" w:hanging="284"/>
              <w:contextualSpacing w:val="0"/>
              <w:jc w:val="both"/>
              <w:rPr>
                <w:rFonts w:ascii="Arial" w:hAnsi="Arial" w:cs="Arial"/>
                <w:b/>
                <w:color w:val="000000"/>
                <w:sz w:val="24"/>
                <w:szCs w:val="24"/>
                <w:u w:color="000000"/>
                <w:bdr w:val="nil"/>
              </w:rPr>
            </w:pPr>
            <w:r w:rsidRPr="00720730">
              <w:rPr>
                <w:rFonts w:ascii="Arial" w:hAnsi="Arial" w:cs="Arial"/>
                <w:b/>
                <w:color w:val="000000"/>
                <w:sz w:val="24"/>
                <w:szCs w:val="24"/>
                <w:u w:color="000000"/>
                <w:bdr w:val="nil"/>
              </w:rPr>
              <w:t>What type of evidence do you think the expert would have gathered for his report?</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The expert could have put together a timeline of events, perhaps using a spreadsheet, showing the income generated over time.  </w:t>
            </w:r>
          </w:p>
          <w:p w:rsidR="008B72C9" w:rsidRPr="008B72C9" w:rsidRDefault="008B72C9" w:rsidP="008B72C9">
            <w:pPr>
              <w:pStyle w:val="BodyA"/>
              <w:jc w:val="both"/>
              <w:rPr>
                <w:rFonts w:ascii="Arial" w:hAnsi="Arial" w:cs="Arial"/>
                <w:sz w:val="24"/>
                <w:szCs w:val="24"/>
              </w:rPr>
            </w:pP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 xml:space="preserve">The expert would gather information from land registry records, the mans' bank accounts,   and mortgage accounts, his legal advisors,  estate agents  and accountants.  By building up the evidence in sequential order the expert can demonstrate where funds came from to fund subsequent purchases and show where mortgages were obtained to assist purchases. This evidence will show over the period of time how much wealth has been created from the portfolio.  </w:t>
            </w:r>
          </w:p>
          <w:p w:rsidR="008B72C9" w:rsidRPr="008B72C9" w:rsidRDefault="008B72C9" w:rsidP="008B72C9">
            <w:pPr>
              <w:pStyle w:val="BodyA"/>
              <w:jc w:val="both"/>
              <w:rPr>
                <w:rFonts w:ascii="Arial" w:hAnsi="Arial" w:cs="Arial"/>
                <w:sz w:val="24"/>
                <w:szCs w:val="24"/>
              </w:rPr>
            </w:pPr>
          </w:p>
          <w:p w:rsidR="008B72C9" w:rsidRDefault="008B72C9" w:rsidP="008B72C9">
            <w:pPr>
              <w:pStyle w:val="BodyA"/>
              <w:jc w:val="both"/>
              <w:rPr>
                <w:rFonts w:ascii="Arial" w:hAnsi="Arial" w:cs="Arial"/>
                <w:sz w:val="24"/>
                <w:szCs w:val="24"/>
              </w:rPr>
            </w:pPr>
            <w:r w:rsidRPr="008B72C9">
              <w:rPr>
                <w:rFonts w:ascii="Arial" w:hAnsi="Arial" w:cs="Arial"/>
                <w:sz w:val="24"/>
                <w:szCs w:val="24"/>
              </w:rPr>
              <w:t xml:space="preserve">Expenditure using the bank statements can also be recorded to demonstrate that the income was sufficient to support the level of expenditure. </w:t>
            </w:r>
          </w:p>
          <w:p w:rsidR="008B72C9" w:rsidRDefault="008B72C9" w:rsidP="008B72C9">
            <w:pPr>
              <w:pStyle w:val="BodyA"/>
              <w:jc w:val="both"/>
              <w:rPr>
                <w:rFonts w:ascii="Arial" w:hAnsi="Arial" w:cs="Arial"/>
                <w:sz w:val="24"/>
                <w:szCs w:val="24"/>
              </w:rPr>
            </w:pPr>
          </w:p>
          <w:p w:rsidR="00F04668" w:rsidRDefault="00F04668" w:rsidP="008B72C9">
            <w:pPr>
              <w:pStyle w:val="BodyA"/>
              <w:jc w:val="both"/>
              <w:rPr>
                <w:rFonts w:ascii="Arial" w:hAnsi="Arial" w:cs="Arial"/>
                <w:sz w:val="24"/>
                <w:szCs w:val="24"/>
              </w:rPr>
            </w:pPr>
          </w:p>
          <w:p w:rsidR="00F04668" w:rsidRDefault="00F04668" w:rsidP="008B72C9">
            <w:pPr>
              <w:pStyle w:val="BodyA"/>
              <w:jc w:val="both"/>
              <w:rPr>
                <w:rFonts w:ascii="Arial" w:hAnsi="Arial" w:cs="Arial"/>
                <w:sz w:val="24"/>
                <w:szCs w:val="24"/>
              </w:rPr>
            </w:pPr>
          </w:p>
          <w:p w:rsidR="00F04668" w:rsidRDefault="00F04668" w:rsidP="008B72C9">
            <w:pPr>
              <w:pStyle w:val="BodyA"/>
              <w:jc w:val="both"/>
              <w:rPr>
                <w:rFonts w:ascii="Arial" w:hAnsi="Arial" w:cs="Arial"/>
                <w:sz w:val="24"/>
                <w:szCs w:val="24"/>
              </w:rPr>
            </w:pPr>
          </w:p>
          <w:p w:rsidR="00F04668" w:rsidRDefault="00F04668" w:rsidP="008B72C9">
            <w:pPr>
              <w:pStyle w:val="BodyA"/>
              <w:jc w:val="both"/>
              <w:rPr>
                <w:rFonts w:ascii="Arial" w:hAnsi="Arial" w:cs="Arial"/>
                <w:sz w:val="24"/>
                <w:szCs w:val="24"/>
              </w:rPr>
            </w:pPr>
          </w:p>
          <w:p w:rsidR="00F04668" w:rsidRPr="008B72C9" w:rsidRDefault="00F04668" w:rsidP="008B72C9">
            <w:pPr>
              <w:pStyle w:val="BodyA"/>
              <w:jc w:val="both"/>
              <w:rPr>
                <w:rFonts w:ascii="Arial" w:hAnsi="Arial" w:cs="Arial"/>
                <w:sz w:val="24"/>
                <w:szCs w:val="24"/>
              </w:rPr>
            </w:pPr>
          </w:p>
          <w:p w:rsidR="008B72C9" w:rsidRPr="00720730" w:rsidRDefault="008B72C9" w:rsidP="008B72C9">
            <w:pPr>
              <w:pStyle w:val="ListParagraph"/>
              <w:numPr>
                <w:ilvl w:val="0"/>
                <w:numId w:val="9"/>
              </w:numPr>
              <w:pBdr>
                <w:top w:val="nil"/>
                <w:left w:val="nil"/>
                <w:bottom w:val="nil"/>
                <w:right w:val="nil"/>
                <w:between w:val="nil"/>
                <w:bar w:val="nil"/>
              </w:pBdr>
              <w:ind w:left="284" w:hanging="284"/>
              <w:contextualSpacing w:val="0"/>
              <w:jc w:val="both"/>
              <w:rPr>
                <w:rFonts w:ascii="Arial" w:hAnsi="Arial" w:cs="Arial"/>
                <w:b/>
                <w:color w:val="000000"/>
                <w:sz w:val="24"/>
                <w:szCs w:val="24"/>
                <w:u w:color="000000"/>
                <w:bdr w:val="nil"/>
              </w:rPr>
            </w:pPr>
            <w:r w:rsidRPr="00720730">
              <w:rPr>
                <w:rFonts w:ascii="Arial" w:hAnsi="Arial" w:cs="Arial"/>
                <w:b/>
                <w:color w:val="000000"/>
                <w:sz w:val="24"/>
                <w:szCs w:val="24"/>
                <w:u w:color="000000"/>
                <w:bdr w:val="nil"/>
              </w:rPr>
              <w:t>Which documents could have helped the forensic expert in gathering evidence?</w:t>
            </w:r>
            <w:r w:rsidRPr="00720730">
              <w:rPr>
                <w:rFonts w:ascii="Arial" w:hAnsi="Arial" w:cs="Arial"/>
                <w:b/>
                <w:color w:val="000000"/>
                <w:sz w:val="24"/>
                <w:szCs w:val="24"/>
                <w:u w:color="000000"/>
                <w:bdr w:val="nil"/>
              </w:rPr>
              <w:br/>
            </w:r>
          </w:p>
          <w:p w:rsidR="008B72C9" w:rsidRPr="008B72C9" w:rsidRDefault="008B72C9" w:rsidP="008B72C9">
            <w:pPr>
              <w:pStyle w:val="BodyA"/>
              <w:jc w:val="both"/>
              <w:rPr>
                <w:rFonts w:ascii="Arial" w:hAnsi="Arial" w:cs="Arial"/>
                <w:sz w:val="24"/>
                <w:szCs w:val="24"/>
              </w:rPr>
            </w:pPr>
            <w:r w:rsidRPr="008B72C9">
              <w:rPr>
                <w:rFonts w:ascii="Arial" w:hAnsi="Arial" w:cs="Arial"/>
                <w:sz w:val="24"/>
                <w:szCs w:val="24"/>
              </w:rPr>
              <w:t>The following documents would assist the expert in his evidence gathering exercise:</w:t>
            </w:r>
          </w:p>
          <w:p w:rsidR="008B72C9" w:rsidRPr="008B72C9" w:rsidRDefault="008B72C9" w:rsidP="008B72C9">
            <w:pPr>
              <w:pStyle w:val="BodyA"/>
              <w:numPr>
                <w:ilvl w:val="0"/>
                <w:numId w:val="10"/>
              </w:numPr>
              <w:jc w:val="both"/>
              <w:rPr>
                <w:rFonts w:ascii="Arial" w:hAnsi="Arial" w:cs="Arial"/>
                <w:sz w:val="24"/>
                <w:szCs w:val="24"/>
              </w:rPr>
            </w:pPr>
            <w:r w:rsidRPr="008B72C9">
              <w:rPr>
                <w:rFonts w:ascii="Arial" w:hAnsi="Arial" w:cs="Arial"/>
                <w:sz w:val="24"/>
                <w:szCs w:val="24"/>
              </w:rPr>
              <w:t>Bank statements</w:t>
            </w:r>
          </w:p>
          <w:p w:rsidR="008B72C9" w:rsidRPr="008B72C9" w:rsidRDefault="008B72C9" w:rsidP="008B72C9">
            <w:pPr>
              <w:pStyle w:val="BodyA"/>
              <w:numPr>
                <w:ilvl w:val="0"/>
                <w:numId w:val="10"/>
              </w:numPr>
              <w:jc w:val="both"/>
              <w:rPr>
                <w:rFonts w:ascii="Arial" w:hAnsi="Arial" w:cs="Arial"/>
                <w:sz w:val="24"/>
                <w:szCs w:val="24"/>
              </w:rPr>
            </w:pPr>
            <w:r w:rsidRPr="008B72C9">
              <w:rPr>
                <w:rFonts w:ascii="Arial" w:hAnsi="Arial" w:cs="Arial"/>
                <w:sz w:val="24"/>
                <w:szCs w:val="24"/>
              </w:rPr>
              <w:t>Land registry records</w:t>
            </w:r>
          </w:p>
          <w:p w:rsidR="008B72C9" w:rsidRPr="008B72C9" w:rsidRDefault="008B72C9" w:rsidP="008B72C9">
            <w:pPr>
              <w:pStyle w:val="BodyA"/>
              <w:numPr>
                <w:ilvl w:val="0"/>
                <w:numId w:val="10"/>
              </w:numPr>
              <w:jc w:val="both"/>
              <w:rPr>
                <w:rFonts w:ascii="Arial" w:hAnsi="Arial" w:cs="Arial"/>
                <w:sz w:val="24"/>
                <w:szCs w:val="24"/>
              </w:rPr>
            </w:pPr>
            <w:r w:rsidRPr="008B72C9">
              <w:rPr>
                <w:rFonts w:ascii="Arial" w:hAnsi="Arial" w:cs="Arial"/>
                <w:sz w:val="24"/>
                <w:szCs w:val="24"/>
              </w:rPr>
              <w:t xml:space="preserve">Missives </w:t>
            </w:r>
          </w:p>
          <w:p w:rsidR="008B72C9" w:rsidRPr="008B72C9" w:rsidRDefault="008B72C9" w:rsidP="008B72C9">
            <w:pPr>
              <w:pStyle w:val="BodyA"/>
              <w:numPr>
                <w:ilvl w:val="0"/>
                <w:numId w:val="10"/>
              </w:numPr>
              <w:jc w:val="both"/>
              <w:rPr>
                <w:rFonts w:ascii="Arial" w:hAnsi="Arial" w:cs="Arial"/>
                <w:sz w:val="24"/>
                <w:szCs w:val="24"/>
              </w:rPr>
            </w:pPr>
            <w:r w:rsidRPr="008B72C9">
              <w:rPr>
                <w:rFonts w:ascii="Arial" w:hAnsi="Arial" w:cs="Arial"/>
                <w:sz w:val="24"/>
                <w:szCs w:val="24"/>
              </w:rPr>
              <w:t>Copies of property valuations</w:t>
            </w:r>
          </w:p>
          <w:p w:rsidR="008B72C9" w:rsidRPr="008B72C9" w:rsidRDefault="008B72C9" w:rsidP="008B72C9">
            <w:pPr>
              <w:pStyle w:val="BodyA"/>
              <w:numPr>
                <w:ilvl w:val="0"/>
                <w:numId w:val="10"/>
              </w:numPr>
              <w:jc w:val="both"/>
              <w:rPr>
                <w:rFonts w:ascii="Arial" w:hAnsi="Arial" w:cs="Arial"/>
                <w:sz w:val="24"/>
                <w:szCs w:val="24"/>
              </w:rPr>
            </w:pPr>
            <w:r w:rsidRPr="008B72C9">
              <w:rPr>
                <w:rFonts w:ascii="Arial" w:hAnsi="Arial" w:cs="Arial"/>
                <w:sz w:val="24"/>
                <w:szCs w:val="24"/>
              </w:rPr>
              <w:t>Legal correspondence evidencing settlements</w:t>
            </w:r>
          </w:p>
          <w:p w:rsidR="008B72C9" w:rsidRPr="008B72C9" w:rsidRDefault="008B72C9" w:rsidP="008B72C9">
            <w:pPr>
              <w:pStyle w:val="BodyA"/>
              <w:numPr>
                <w:ilvl w:val="0"/>
                <w:numId w:val="10"/>
              </w:numPr>
              <w:jc w:val="both"/>
              <w:rPr>
                <w:rFonts w:ascii="Arial" w:hAnsi="Arial" w:cs="Arial"/>
                <w:sz w:val="24"/>
                <w:szCs w:val="24"/>
              </w:rPr>
            </w:pPr>
            <w:r w:rsidRPr="008B72C9">
              <w:rPr>
                <w:rFonts w:ascii="Arial" w:hAnsi="Arial" w:cs="Arial"/>
                <w:sz w:val="24"/>
                <w:szCs w:val="24"/>
              </w:rPr>
              <w:t>Bank statements</w:t>
            </w:r>
          </w:p>
          <w:p w:rsidR="008B72C9" w:rsidRPr="008B72C9" w:rsidRDefault="008B72C9" w:rsidP="008B72C9">
            <w:pPr>
              <w:pStyle w:val="BodyA"/>
              <w:numPr>
                <w:ilvl w:val="0"/>
                <w:numId w:val="10"/>
              </w:numPr>
              <w:jc w:val="both"/>
              <w:rPr>
                <w:rFonts w:ascii="Arial" w:hAnsi="Arial" w:cs="Arial"/>
                <w:sz w:val="24"/>
                <w:szCs w:val="24"/>
              </w:rPr>
            </w:pPr>
            <w:r w:rsidRPr="008B72C9">
              <w:rPr>
                <w:rFonts w:ascii="Arial" w:hAnsi="Arial" w:cs="Arial"/>
                <w:sz w:val="24"/>
                <w:szCs w:val="24"/>
              </w:rPr>
              <w:t>Bank correspondence in relation to purchases and sales of properties.</w:t>
            </w:r>
          </w:p>
          <w:p w:rsidR="008B72C9" w:rsidRPr="008B72C9" w:rsidRDefault="008B72C9" w:rsidP="008B72C9">
            <w:pPr>
              <w:pStyle w:val="BodyA"/>
              <w:numPr>
                <w:ilvl w:val="0"/>
                <w:numId w:val="10"/>
              </w:numPr>
              <w:jc w:val="both"/>
              <w:rPr>
                <w:rFonts w:ascii="Arial" w:hAnsi="Arial" w:cs="Arial"/>
                <w:sz w:val="24"/>
                <w:szCs w:val="24"/>
              </w:rPr>
            </w:pPr>
            <w:r w:rsidRPr="008B72C9">
              <w:rPr>
                <w:rFonts w:ascii="Arial" w:hAnsi="Arial" w:cs="Arial"/>
                <w:sz w:val="24"/>
                <w:szCs w:val="24"/>
              </w:rPr>
              <w:t>Mortgage documentation</w:t>
            </w:r>
          </w:p>
          <w:p w:rsidR="008B72C9" w:rsidRPr="008B72C9" w:rsidRDefault="008B72C9" w:rsidP="008B72C9">
            <w:pPr>
              <w:pStyle w:val="BodyA"/>
              <w:numPr>
                <w:ilvl w:val="0"/>
                <w:numId w:val="10"/>
              </w:numPr>
              <w:jc w:val="both"/>
              <w:rPr>
                <w:rFonts w:ascii="Arial" w:hAnsi="Arial" w:cs="Arial"/>
                <w:sz w:val="24"/>
                <w:szCs w:val="24"/>
              </w:rPr>
            </w:pPr>
            <w:r w:rsidRPr="008B72C9">
              <w:rPr>
                <w:rFonts w:ascii="Arial" w:hAnsi="Arial" w:cs="Arial"/>
                <w:sz w:val="24"/>
                <w:szCs w:val="24"/>
              </w:rPr>
              <w:t>Tax returns</w:t>
            </w:r>
          </w:p>
          <w:p w:rsidR="00CC2FB3" w:rsidRPr="008B72C9" w:rsidRDefault="00CC2FB3" w:rsidP="008B72C9">
            <w:pPr>
              <w:pStyle w:val="Body"/>
              <w:jc w:val="both"/>
              <w:rPr>
                <w:rFonts w:ascii="Arial" w:hAnsi="Arial" w:cs="Arial"/>
                <w:sz w:val="24"/>
                <w:szCs w:val="24"/>
              </w:rPr>
            </w:pPr>
          </w:p>
          <w:p w:rsidR="00CC2FB3" w:rsidRDefault="00CC2FB3" w:rsidP="009E5372">
            <w:pPr>
              <w:ind w:left="426"/>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9E5372" w:rsidTr="00CC2FB3">
        <w:tc>
          <w:tcPr>
            <w:tcW w:w="9242" w:type="dxa"/>
          </w:tcPr>
          <w:p w:rsidR="009E5372" w:rsidRDefault="009E5372" w:rsidP="009E5372">
            <w:pPr>
              <w:pStyle w:val="ListParagraph"/>
              <w:pBdr>
                <w:top w:val="nil"/>
                <w:left w:val="nil"/>
                <w:bottom w:val="nil"/>
                <w:right w:val="nil"/>
                <w:between w:val="nil"/>
                <w:bar w:val="nil"/>
              </w:pBdr>
              <w:ind w:left="426"/>
              <w:contextualSpacing w:val="0"/>
              <w:jc w:val="both"/>
              <w:rPr>
                <w:rFonts w:ascii="Arial" w:hAnsi="Arial" w:cs="Arial"/>
                <w:color w:val="000000"/>
                <w:sz w:val="24"/>
                <w:szCs w:val="24"/>
                <w:u w:color="00000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E611B7">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1F7F" w:rsidP="00A851DA">
            <w:pPr>
              <w:rPr>
                <w:rFonts w:cs="Bliss-Regular"/>
                <w:color w:val="000000"/>
              </w:rPr>
            </w:pPr>
            <w:r>
              <w:rPr>
                <w:rFonts w:cs="Bliss-Regular"/>
                <w:noProof/>
                <w:color w:val="000000"/>
              </w:rPr>
              <w:drawing>
                <wp:inline distT="0" distB="0" distL="0" distR="0" wp14:anchorId="26E523EE" wp14:editId="3FA032AF">
                  <wp:extent cx="1360967" cy="344653"/>
                  <wp:effectExtent l="0" t="0" r="0" b="0"/>
                  <wp:docPr id="2" name="Picture 2" descr="S:\Team Members Area\Current Staff\Julie Sutherland\Signatures\Antonia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am Members Area\Current Staff\Julie Sutherland\Signatures\Antonia signature.b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338" cy="347279"/>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E611B7" w:rsidRDefault="008B72C9" w:rsidP="008B72C9">
            <w:pPr>
              <w:jc w:val="center"/>
              <w:rPr>
                <w:rFonts w:ascii="Arial" w:hAnsi="Arial" w:cs="Arial"/>
                <w:color w:val="000000"/>
                <w:sz w:val="24"/>
                <w:szCs w:val="24"/>
              </w:rPr>
            </w:pPr>
            <w:r>
              <w:rPr>
                <w:rFonts w:ascii="Arial" w:hAnsi="Arial" w:cs="Arial"/>
                <w:color w:val="000000"/>
                <w:sz w:val="24"/>
                <w:szCs w:val="24"/>
              </w:rPr>
              <w:t>29</w:t>
            </w:r>
            <w:r w:rsidR="00E611B7" w:rsidRPr="00E611B7">
              <w:rPr>
                <w:rFonts w:ascii="Arial" w:hAnsi="Arial" w:cs="Arial"/>
                <w:color w:val="000000"/>
                <w:sz w:val="24"/>
                <w:szCs w:val="24"/>
              </w:rPr>
              <w:t>/</w:t>
            </w:r>
            <w:r>
              <w:rPr>
                <w:rFonts w:ascii="Arial" w:hAnsi="Arial" w:cs="Arial"/>
                <w:color w:val="000000"/>
                <w:sz w:val="24"/>
                <w:szCs w:val="24"/>
              </w:rPr>
              <w:t>03</w:t>
            </w:r>
            <w:r w:rsidR="00E611B7" w:rsidRPr="00E611B7">
              <w:rPr>
                <w:rFonts w:ascii="Arial" w:hAnsi="Arial" w:cs="Arial"/>
                <w:color w:val="000000"/>
                <w:sz w:val="24"/>
                <w:szCs w:val="24"/>
              </w:rPr>
              <w:t>/201</w:t>
            </w:r>
            <w:r>
              <w:rPr>
                <w:rFonts w:ascii="Arial" w:hAnsi="Arial" w:cs="Arial"/>
                <w:color w:val="000000"/>
                <w:sz w:val="24"/>
                <w:szCs w:val="24"/>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altName w:val="Times New Roman"/>
    <w:charset w:val="00"/>
    <w:family w:val="roman"/>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72590"/>
    <w:multiLevelType w:val="hybridMultilevel"/>
    <w:tmpl w:val="5B205104"/>
    <w:styleLink w:val="ImportedStyle1"/>
    <w:lvl w:ilvl="0" w:tplc="81DC4B56">
      <w:start w:val="1"/>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DACBC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34B2CC">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DECCB70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FE8267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360FAC4">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F2D8DD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8641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62E6A8">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110F20CF"/>
    <w:multiLevelType w:val="hybridMultilevel"/>
    <w:tmpl w:val="C4A0C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515EC2"/>
    <w:multiLevelType w:val="hybridMultilevel"/>
    <w:tmpl w:val="C0A295D4"/>
    <w:numStyleLink w:val="Numbered"/>
  </w:abstractNum>
  <w:abstractNum w:abstractNumId="3">
    <w:nsid w:val="16B302B7"/>
    <w:multiLevelType w:val="hybridMultilevel"/>
    <w:tmpl w:val="5B205104"/>
    <w:numStyleLink w:val="ImportedStyle1"/>
  </w:abstractNum>
  <w:abstractNum w:abstractNumId="4">
    <w:nsid w:val="1CA8001A"/>
    <w:multiLevelType w:val="hybridMultilevel"/>
    <w:tmpl w:val="4A1EB9EC"/>
    <w:styleLink w:val="Lettered"/>
    <w:lvl w:ilvl="0" w:tplc="1666BE5E">
      <w:start w:val="1"/>
      <w:numFmt w:val="upperRoman"/>
      <w:lvlText w:val="%1."/>
      <w:lvlJc w:val="left"/>
      <w:pPr>
        <w:tabs>
          <w:tab w:val="num" w:pos="715"/>
        </w:tabs>
        <w:ind w:left="1140" w:hanging="714"/>
      </w:pPr>
      <w:rPr>
        <w:rFonts w:hAnsi="Arial Unicode MS"/>
        <w:caps w:val="0"/>
        <w:smallCaps w:val="0"/>
        <w:strike w:val="0"/>
        <w:dstrike w:val="0"/>
        <w:outline w:val="0"/>
        <w:emboss w:val="0"/>
        <w:imprint w:val="0"/>
        <w:spacing w:val="0"/>
        <w:w w:val="100"/>
        <w:kern w:val="0"/>
        <w:position w:val="0"/>
        <w:highlight w:val="none"/>
        <w:vertAlign w:val="baseline"/>
      </w:rPr>
    </w:lvl>
    <w:lvl w:ilvl="1" w:tplc="D5C227E4">
      <w:start w:val="1"/>
      <w:numFmt w:val="upperRoman"/>
      <w:lvlText w:val="%2."/>
      <w:lvlJc w:val="left"/>
      <w:pPr>
        <w:tabs>
          <w:tab w:val="num" w:pos="1715"/>
        </w:tabs>
        <w:ind w:left="2140" w:hanging="714"/>
      </w:pPr>
      <w:rPr>
        <w:rFonts w:hAnsi="Arial Unicode MS"/>
        <w:caps w:val="0"/>
        <w:smallCaps w:val="0"/>
        <w:strike w:val="0"/>
        <w:dstrike w:val="0"/>
        <w:outline w:val="0"/>
        <w:emboss w:val="0"/>
        <w:imprint w:val="0"/>
        <w:spacing w:val="0"/>
        <w:w w:val="100"/>
        <w:kern w:val="0"/>
        <w:position w:val="0"/>
        <w:highlight w:val="none"/>
        <w:vertAlign w:val="baseline"/>
      </w:rPr>
    </w:lvl>
    <w:lvl w:ilvl="2" w:tplc="DFB6EF54">
      <w:start w:val="1"/>
      <w:numFmt w:val="upperRoman"/>
      <w:lvlText w:val="%3."/>
      <w:lvlJc w:val="left"/>
      <w:pPr>
        <w:tabs>
          <w:tab w:val="num" w:pos="2715"/>
        </w:tabs>
        <w:ind w:left="3140" w:hanging="714"/>
      </w:pPr>
      <w:rPr>
        <w:rFonts w:hAnsi="Arial Unicode MS"/>
        <w:caps w:val="0"/>
        <w:smallCaps w:val="0"/>
        <w:strike w:val="0"/>
        <w:dstrike w:val="0"/>
        <w:outline w:val="0"/>
        <w:emboss w:val="0"/>
        <w:imprint w:val="0"/>
        <w:spacing w:val="0"/>
        <w:w w:val="100"/>
        <w:kern w:val="0"/>
        <w:position w:val="0"/>
        <w:highlight w:val="none"/>
        <w:vertAlign w:val="baseline"/>
      </w:rPr>
    </w:lvl>
    <w:lvl w:ilvl="3" w:tplc="EDA42B98">
      <w:start w:val="1"/>
      <w:numFmt w:val="upperRoman"/>
      <w:lvlText w:val="%4."/>
      <w:lvlJc w:val="left"/>
      <w:pPr>
        <w:tabs>
          <w:tab w:val="num" w:pos="3715"/>
        </w:tabs>
        <w:ind w:left="4140" w:hanging="714"/>
      </w:pPr>
      <w:rPr>
        <w:rFonts w:hAnsi="Arial Unicode MS"/>
        <w:caps w:val="0"/>
        <w:smallCaps w:val="0"/>
        <w:strike w:val="0"/>
        <w:dstrike w:val="0"/>
        <w:outline w:val="0"/>
        <w:emboss w:val="0"/>
        <w:imprint w:val="0"/>
        <w:spacing w:val="0"/>
        <w:w w:val="100"/>
        <w:kern w:val="0"/>
        <w:position w:val="0"/>
        <w:highlight w:val="none"/>
        <w:vertAlign w:val="baseline"/>
      </w:rPr>
    </w:lvl>
    <w:lvl w:ilvl="4" w:tplc="BF6C43C8">
      <w:start w:val="1"/>
      <w:numFmt w:val="upperRoman"/>
      <w:lvlText w:val="%5."/>
      <w:lvlJc w:val="left"/>
      <w:pPr>
        <w:tabs>
          <w:tab w:val="num" w:pos="4715"/>
        </w:tabs>
        <w:ind w:left="5140" w:hanging="714"/>
      </w:pPr>
      <w:rPr>
        <w:rFonts w:hAnsi="Arial Unicode MS"/>
        <w:caps w:val="0"/>
        <w:smallCaps w:val="0"/>
        <w:strike w:val="0"/>
        <w:dstrike w:val="0"/>
        <w:outline w:val="0"/>
        <w:emboss w:val="0"/>
        <w:imprint w:val="0"/>
        <w:spacing w:val="0"/>
        <w:w w:val="100"/>
        <w:kern w:val="0"/>
        <w:position w:val="0"/>
        <w:highlight w:val="none"/>
        <w:vertAlign w:val="baseline"/>
      </w:rPr>
    </w:lvl>
    <w:lvl w:ilvl="5" w:tplc="CDC8012E">
      <w:start w:val="1"/>
      <w:numFmt w:val="upperRoman"/>
      <w:lvlText w:val="%6."/>
      <w:lvlJc w:val="left"/>
      <w:pPr>
        <w:tabs>
          <w:tab w:val="num" w:pos="5715"/>
        </w:tabs>
        <w:ind w:left="6140" w:hanging="714"/>
      </w:pPr>
      <w:rPr>
        <w:rFonts w:hAnsi="Arial Unicode MS"/>
        <w:caps w:val="0"/>
        <w:smallCaps w:val="0"/>
        <w:strike w:val="0"/>
        <w:dstrike w:val="0"/>
        <w:outline w:val="0"/>
        <w:emboss w:val="0"/>
        <w:imprint w:val="0"/>
        <w:spacing w:val="0"/>
        <w:w w:val="100"/>
        <w:kern w:val="0"/>
        <w:position w:val="0"/>
        <w:highlight w:val="none"/>
        <w:vertAlign w:val="baseline"/>
      </w:rPr>
    </w:lvl>
    <w:lvl w:ilvl="6" w:tplc="9686400A">
      <w:start w:val="1"/>
      <w:numFmt w:val="upperRoman"/>
      <w:lvlText w:val="%7."/>
      <w:lvlJc w:val="left"/>
      <w:pPr>
        <w:tabs>
          <w:tab w:val="num" w:pos="6715"/>
        </w:tabs>
        <w:ind w:left="7140" w:hanging="714"/>
      </w:pPr>
      <w:rPr>
        <w:rFonts w:hAnsi="Arial Unicode MS"/>
        <w:caps w:val="0"/>
        <w:smallCaps w:val="0"/>
        <w:strike w:val="0"/>
        <w:dstrike w:val="0"/>
        <w:outline w:val="0"/>
        <w:emboss w:val="0"/>
        <w:imprint w:val="0"/>
        <w:spacing w:val="0"/>
        <w:w w:val="100"/>
        <w:kern w:val="0"/>
        <w:position w:val="0"/>
        <w:highlight w:val="none"/>
        <w:vertAlign w:val="baseline"/>
      </w:rPr>
    </w:lvl>
    <w:lvl w:ilvl="7" w:tplc="1F5A1E4C">
      <w:start w:val="1"/>
      <w:numFmt w:val="upperRoman"/>
      <w:lvlText w:val="%8."/>
      <w:lvlJc w:val="left"/>
      <w:pPr>
        <w:tabs>
          <w:tab w:val="num" w:pos="7715"/>
        </w:tabs>
        <w:ind w:left="8140" w:hanging="714"/>
      </w:pPr>
      <w:rPr>
        <w:rFonts w:hAnsi="Arial Unicode MS"/>
        <w:caps w:val="0"/>
        <w:smallCaps w:val="0"/>
        <w:strike w:val="0"/>
        <w:dstrike w:val="0"/>
        <w:outline w:val="0"/>
        <w:emboss w:val="0"/>
        <w:imprint w:val="0"/>
        <w:spacing w:val="0"/>
        <w:w w:val="100"/>
        <w:kern w:val="0"/>
        <w:position w:val="0"/>
        <w:highlight w:val="none"/>
        <w:vertAlign w:val="baseline"/>
      </w:rPr>
    </w:lvl>
    <w:lvl w:ilvl="8" w:tplc="A2345026">
      <w:start w:val="1"/>
      <w:numFmt w:val="upperRoman"/>
      <w:lvlText w:val="%9."/>
      <w:lvlJc w:val="left"/>
      <w:pPr>
        <w:tabs>
          <w:tab w:val="num" w:pos="8715"/>
        </w:tabs>
        <w:ind w:left="9140" w:hanging="7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294A49A5"/>
    <w:multiLevelType w:val="hybridMultilevel"/>
    <w:tmpl w:val="4A1EB9EC"/>
    <w:numStyleLink w:val="Lettered"/>
  </w:abstractNum>
  <w:abstractNum w:abstractNumId="6">
    <w:nsid w:val="44AC3153"/>
    <w:multiLevelType w:val="hybridMultilevel"/>
    <w:tmpl w:val="5B205104"/>
    <w:numStyleLink w:val="ImportedStyle1"/>
  </w:abstractNum>
  <w:abstractNum w:abstractNumId="7">
    <w:nsid w:val="4DAA337C"/>
    <w:multiLevelType w:val="hybridMultilevel"/>
    <w:tmpl w:val="C0A295D4"/>
    <w:styleLink w:val="Numbered"/>
    <w:lvl w:ilvl="0" w:tplc="4ED24B50">
      <w:start w:val="1"/>
      <w:numFmt w:val="decimal"/>
      <w:lvlText w:val="%1."/>
      <w:lvlJc w:val="left"/>
      <w:pPr>
        <w:tabs>
          <w:tab w:val="num" w:pos="232"/>
        </w:tabs>
        <w:ind w:left="799" w:hanging="799"/>
      </w:pPr>
      <w:rPr>
        <w:rFonts w:hAnsi="Arial Unicode MS"/>
        <w:caps w:val="0"/>
        <w:smallCaps w:val="0"/>
        <w:strike w:val="0"/>
        <w:dstrike w:val="0"/>
        <w:outline w:val="0"/>
        <w:emboss w:val="0"/>
        <w:imprint w:val="0"/>
        <w:spacing w:val="0"/>
        <w:w w:val="100"/>
        <w:kern w:val="0"/>
        <w:position w:val="0"/>
        <w:highlight w:val="none"/>
        <w:vertAlign w:val="baseline"/>
      </w:rPr>
    </w:lvl>
    <w:lvl w:ilvl="1" w:tplc="B02278A0">
      <w:start w:val="1"/>
      <w:numFmt w:val="decimal"/>
      <w:lvlText w:val="%2."/>
      <w:lvlJc w:val="left"/>
      <w:pPr>
        <w:tabs>
          <w:tab w:val="num" w:pos="1032"/>
        </w:tabs>
        <w:ind w:left="1599" w:hanging="799"/>
      </w:pPr>
      <w:rPr>
        <w:rFonts w:hAnsi="Arial Unicode MS"/>
        <w:caps w:val="0"/>
        <w:smallCaps w:val="0"/>
        <w:strike w:val="0"/>
        <w:dstrike w:val="0"/>
        <w:outline w:val="0"/>
        <w:emboss w:val="0"/>
        <w:imprint w:val="0"/>
        <w:spacing w:val="0"/>
        <w:w w:val="100"/>
        <w:kern w:val="0"/>
        <w:position w:val="0"/>
        <w:highlight w:val="none"/>
        <w:vertAlign w:val="baseline"/>
      </w:rPr>
    </w:lvl>
    <w:lvl w:ilvl="2" w:tplc="11D42D90">
      <w:start w:val="1"/>
      <w:numFmt w:val="decimal"/>
      <w:lvlText w:val="%3."/>
      <w:lvlJc w:val="left"/>
      <w:pPr>
        <w:tabs>
          <w:tab w:val="num" w:pos="1832"/>
        </w:tabs>
        <w:ind w:left="2399" w:hanging="799"/>
      </w:pPr>
      <w:rPr>
        <w:rFonts w:hAnsi="Arial Unicode MS"/>
        <w:caps w:val="0"/>
        <w:smallCaps w:val="0"/>
        <w:strike w:val="0"/>
        <w:dstrike w:val="0"/>
        <w:outline w:val="0"/>
        <w:emboss w:val="0"/>
        <w:imprint w:val="0"/>
        <w:spacing w:val="0"/>
        <w:w w:val="100"/>
        <w:kern w:val="0"/>
        <w:position w:val="0"/>
        <w:highlight w:val="none"/>
        <w:vertAlign w:val="baseline"/>
      </w:rPr>
    </w:lvl>
    <w:lvl w:ilvl="3" w:tplc="6792B6C0">
      <w:start w:val="1"/>
      <w:numFmt w:val="decimal"/>
      <w:lvlText w:val="%4."/>
      <w:lvlJc w:val="left"/>
      <w:pPr>
        <w:tabs>
          <w:tab w:val="num" w:pos="2632"/>
        </w:tabs>
        <w:ind w:left="3199" w:hanging="799"/>
      </w:pPr>
      <w:rPr>
        <w:rFonts w:hAnsi="Arial Unicode MS"/>
        <w:caps w:val="0"/>
        <w:smallCaps w:val="0"/>
        <w:strike w:val="0"/>
        <w:dstrike w:val="0"/>
        <w:outline w:val="0"/>
        <w:emboss w:val="0"/>
        <w:imprint w:val="0"/>
        <w:spacing w:val="0"/>
        <w:w w:val="100"/>
        <w:kern w:val="0"/>
        <w:position w:val="0"/>
        <w:highlight w:val="none"/>
        <w:vertAlign w:val="baseline"/>
      </w:rPr>
    </w:lvl>
    <w:lvl w:ilvl="4" w:tplc="944CC7A4">
      <w:start w:val="1"/>
      <w:numFmt w:val="decimal"/>
      <w:lvlText w:val="%5."/>
      <w:lvlJc w:val="left"/>
      <w:pPr>
        <w:tabs>
          <w:tab w:val="num" w:pos="3432"/>
        </w:tabs>
        <w:ind w:left="3999" w:hanging="799"/>
      </w:pPr>
      <w:rPr>
        <w:rFonts w:hAnsi="Arial Unicode MS"/>
        <w:caps w:val="0"/>
        <w:smallCaps w:val="0"/>
        <w:strike w:val="0"/>
        <w:dstrike w:val="0"/>
        <w:outline w:val="0"/>
        <w:emboss w:val="0"/>
        <w:imprint w:val="0"/>
        <w:spacing w:val="0"/>
        <w:w w:val="100"/>
        <w:kern w:val="0"/>
        <w:position w:val="0"/>
        <w:highlight w:val="none"/>
        <w:vertAlign w:val="baseline"/>
      </w:rPr>
    </w:lvl>
    <w:lvl w:ilvl="5" w:tplc="7124EC40">
      <w:start w:val="1"/>
      <w:numFmt w:val="decimal"/>
      <w:lvlText w:val="%6."/>
      <w:lvlJc w:val="left"/>
      <w:pPr>
        <w:tabs>
          <w:tab w:val="num" w:pos="4232"/>
        </w:tabs>
        <w:ind w:left="4799" w:hanging="799"/>
      </w:pPr>
      <w:rPr>
        <w:rFonts w:hAnsi="Arial Unicode MS"/>
        <w:caps w:val="0"/>
        <w:smallCaps w:val="0"/>
        <w:strike w:val="0"/>
        <w:dstrike w:val="0"/>
        <w:outline w:val="0"/>
        <w:emboss w:val="0"/>
        <w:imprint w:val="0"/>
        <w:spacing w:val="0"/>
        <w:w w:val="100"/>
        <w:kern w:val="0"/>
        <w:position w:val="0"/>
        <w:highlight w:val="none"/>
        <w:vertAlign w:val="baseline"/>
      </w:rPr>
    </w:lvl>
    <w:lvl w:ilvl="6" w:tplc="E3A2829E">
      <w:start w:val="1"/>
      <w:numFmt w:val="decimal"/>
      <w:lvlText w:val="%7."/>
      <w:lvlJc w:val="left"/>
      <w:pPr>
        <w:tabs>
          <w:tab w:val="num" w:pos="5032"/>
        </w:tabs>
        <w:ind w:left="5599" w:hanging="799"/>
      </w:pPr>
      <w:rPr>
        <w:rFonts w:hAnsi="Arial Unicode MS"/>
        <w:caps w:val="0"/>
        <w:smallCaps w:val="0"/>
        <w:strike w:val="0"/>
        <w:dstrike w:val="0"/>
        <w:outline w:val="0"/>
        <w:emboss w:val="0"/>
        <w:imprint w:val="0"/>
        <w:spacing w:val="0"/>
        <w:w w:val="100"/>
        <w:kern w:val="0"/>
        <w:position w:val="0"/>
        <w:highlight w:val="none"/>
        <w:vertAlign w:val="baseline"/>
      </w:rPr>
    </w:lvl>
    <w:lvl w:ilvl="7" w:tplc="5B04447E">
      <w:start w:val="1"/>
      <w:numFmt w:val="decimal"/>
      <w:lvlText w:val="%8."/>
      <w:lvlJc w:val="left"/>
      <w:pPr>
        <w:tabs>
          <w:tab w:val="num" w:pos="5832"/>
        </w:tabs>
        <w:ind w:left="6399" w:hanging="799"/>
      </w:pPr>
      <w:rPr>
        <w:rFonts w:hAnsi="Arial Unicode MS"/>
        <w:caps w:val="0"/>
        <w:smallCaps w:val="0"/>
        <w:strike w:val="0"/>
        <w:dstrike w:val="0"/>
        <w:outline w:val="0"/>
        <w:emboss w:val="0"/>
        <w:imprint w:val="0"/>
        <w:spacing w:val="0"/>
        <w:w w:val="100"/>
        <w:kern w:val="0"/>
        <w:position w:val="0"/>
        <w:highlight w:val="none"/>
        <w:vertAlign w:val="baseline"/>
      </w:rPr>
    </w:lvl>
    <w:lvl w:ilvl="8" w:tplc="0BBEFBEC">
      <w:start w:val="1"/>
      <w:numFmt w:val="decimal"/>
      <w:lvlText w:val="%9."/>
      <w:lvlJc w:val="left"/>
      <w:pPr>
        <w:tabs>
          <w:tab w:val="num" w:pos="6632"/>
        </w:tabs>
        <w:ind w:left="7199" w:hanging="79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F5717D"/>
    <w:multiLevelType w:val="hybridMultilevel"/>
    <w:tmpl w:val="3CBC5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8"/>
  </w:num>
  <w:num w:numId="2">
    <w:abstractNumId w:val="0"/>
  </w:num>
  <w:num w:numId="3">
    <w:abstractNumId w:val="3"/>
  </w:num>
  <w:num w:numId="4">
    <w:abstractNumId w:val="4"/>
  </w:num>
  <w:num w:numId="5">
    <w:abstractNumId w:val="5"/>
  </w:num>
  <w:num w:numId="6">
    <w:abstractNumId w:val="7"/>
  </w:num>
  <w:num w:numId="7">
    <w:abstractNumId w:val="2"/>
  </w:num>
  <w:num w:numId="8">
    <w:abstractNumId w:val="9"/>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55D59"/>
    <w:rsid w:val="000820E8"/>
    <w:rsid w:val="001175EE"/>
    <w:rsid w:val="00157CF6"/>
    <w:rsid w:val="00182416"/>
    <w:rsid w:val="00187EB4"/>
    <w:rsid w:val="001B6341"/>
    <w:rsid w:val="001D16A7"/>
    <w:rsid w:val="001F0481"/>
    <w:rsid w:val="00200C92"/>
    <w:rsid w:val="0020262F"/>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066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A06"/>
    <w:rsid w:val="0070347F"/>
    <w:rsid w:val="0070678E"/>
    <w:rsid w:val="00720730"/>
    <w:rsid w:val="00780411"/>
    <w:rsid w:val="00831C11"/>
    <w:rsid w:val="00891F7F"/>
    <w:rsid w:val="008A60B4"/>
    <w:rsid w:val="008B3C31"/>
    <w:rsid w:val="008B64FE"/>
    <w:rsid w:val="008B72C9"/>
    <w:rsid w:val="00935BF7"/>
    <w:rsid w:val="0095442C"/>
    <w:rsid w:val="00983942"/>
    <w:rsid w:val="009C37E0"/>
    <w:rsid w:val="009E41F4"/>
    <w:rsid w:val="009E5372"/>
    <w:rsid w:val="00A14B66"/>
    <w:rsid w:val="00A479BF"/>
    <w:rsid w:val="00A65CF7"/>
    <w:rsid w:val="00A81AB4"/>
    <w:rsid w:val="00A851DA"/>
    <w:rsid w:val="00AC7D5B"/>
    <w:rsid w:val="00AE1481"/>
    <w:rsid w:val="00B0415E"/>
    <w:rsid w:val="00B04678"/>
    <w:rsid w:val="00B22739"/>
    <w:rsid w:val="00B328C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7BEF"/>
    <w:rsid w:val="00DB0793"/>
    <w:rsid w:val="00E00821"/>
    <w:rsid w:val="00E04DB4"/>
    <w:rsid w:val="00E30679"/>
    <w:rsid w:val="00E4597D"/>
    <w:rsid w:val="00E54832"/>
    <w:rsid w:val="00E56A90"/>
    <w:rsid w:val="00E611B7"/>
    <w:rsid w:val="00E641CC"/>
    <w:rsid w:val="00EA30AB"/>
    <w:rsid w:val="00EB3925"/>
    <w:rsid w:val="00F04668"/>
    <w:rsid w:val="00F150AB"/>
    <w:rsid w:val="00F96EB3"/>
    <w:rsid w:val="00FA295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91F7F"/>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891F7F"/>
    <w:pPr>
      <w:numPr>
        <w:numId w:val="2"/>
      </w:numPr>
    </w:pPr>
  </w:style>
  <w:style w:type="numbering" w:customStyle="1" w:styleId="Lettered">
    <w:name w:val="Lettered"/>
    <w:rsid w:val="00891F7F"/>
    <w:pPr>
      <w:numPr>
        <w:numId w:val="4"/>
      </w:numPr>
    </w:pPr>
  </w:style>
  <w:style w:type="numbering" w:customStyle="1" w:styleId="Numbered">
    <w:name w:val="Numbered"/>
    <w:rsid w:val="00891F7F"/>
    <w:pPr>
      <w:numPr>
        <w:numId w:val="6"/>
      </w:numPr>
    </w:pPr>
  </w:style>
  <w:style w:type="paragraph" w:customStyle="1" w:styleId="BodyA">
    <w:name w:val="Body A"/>
    <w:rsid w:val="008B72C9"/>
    <w:pPr>
      <w:pBdr>
        <w:top w:val="nil"/>
        <w:left w:val="nil"/>
        <w:bottom w:val="nil"/>
        <w:right w:val="nil"/>
        <w:between w:val="nil"/>
        <w:bar w:val="nil"/>
      </w:pBdr>
    </w:pPr>
    <w:rPr>
      <w:rFonts w:ascii="Calibri" w:eastAsia="Calibri" w:hAnsi="Calibri" w:cs="Calibri"/>
      <w:color w:val="000000"/>
      <w:u w:color="000000"/>
      <w:bdr w:val="nil"/>
      <w:lang w:val="en-US"/>
    </w:rPr>
  </w:style>
  <w:style w:type="character" w:styleId="CommentReference">
    <w:name w:val="annotation reference"/>
    <w:basedOn w:val="DefaultParagraphFont"/>
    <w:uiPriority w:val="99"/>
    <w:semiHidden/>
    <w:unhideWhenUsed/>
    <w:rsid w:val="008B72C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91F7F"/>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891F7F"/>
    <w:pPr>
      <w:numPr>
        <w:numId w:val="2"/>
      </w:numPr>
    </w:pPr>
  </w:style>
  <w:style w:type="numbering" w:customStyle="1" w:styleId="Lettered">
    <w:name w:val="Lettered"/>
    <w:rsid w:val="00891F7F"/>
    <w:pPr>
      <w:numPr>
        <w:numId w:val="4"/>
      </w:numPr>
    </w:pPr>
  </w:style>
  <w:style w:type="numbering" w:customStyle="1" w:styleId="Numbered">
    <w:name w:val="Numbered"/>
    <w:rsid w:val="00891F7F"/>
    <w:pPr>
      <w:numPr>
        <w:numId w:val="6"/>
      </w:numPr>
    </w:pPr>
  </w:style>
  <w:style w:type="paragraph" w:customStyle="1" w:styleId="BodyA">
    <w:name w:val="Body A"/>
    <w:rsid w:val="008B72C9"/>
    <w:pPr>
      <w:pBdr>
        <w:top w:val="nil"/>
        <w:left w:val="nil"/>
        <w:bottom w:val="nil"/>
        <w:right w:val="nil"/>
        <w:between w:val="nil"/>
        <w:bar w:val="nil"/>
      </w:pBdr>
    </w:pPr>
    <w:rPr>
      <w:rFonts w:ascii="Calibri" w:eastAsia="Calibri" w:hAnsi="Calibri" w:cs="Calibri"/>
      <w:color w:val="000000"/>
      <w:u w:color="000000"/>
      <w:bdr w:val="nil"/>
      <w:lang w:val="en-US"/>
    </w:rPr>
  </w:style>
  <w:style w:type="character" w:styleId="CommentReference">
    <w:name w:val="annotation reference"/>
    <w:basedOn w:val="DefaultParagraphFont"/>
    <w:uiPriority w:val="99"/>
    <w:semiHidden/>
    <w:unhideWhenUsed/>
    <w:rsid w:val="008B72C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EB635-7E6A-4BFA-AAF8-8941314DA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1516</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Antonia McIntyre</cp:lastModifiedBy>
  <cp:revision>4</cp:revision>
  <dcterms:created xsi:type="dcterms:W3CDTF">2016-03-29T12:24:00Z</dcterms:created>
  <dcterms:modified xsi:type="dcterms:W3CDTF">2016-03-29T12:56:00Z</dcterms:modified>
</cp:coreProperties>
</file>