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46C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78F">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78F">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78F">
            <w:pPr>
              <w:pStyle w:val="Default"/>
              <w:rPr>
                <w:rFonts w:asciiTheme="minorHAnsi" w:hAnsiTheme="minorHAnsi"/>
              </w:rPr>
            </w:pPr>
            <w:r>
              <w:rPr>
                <w:rFonts w:asciiTheme="minorHAnsi" w:hAnsiTheme="minorHAnsi"/>
              </w:rPr>
              <w:t>FORENSIC ACCOUTING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0EE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40EE2" w:rsidRDefault="00C40EE2" w:rsidP="00C40EE2">
            <w:pPr>
              <w:rPr>
                <w:b/>
                <w:u w:val="single"/>
              </w:rPr>
            </w:pPr>
            <w:r w:rsidRPr="00C40EE2">
              <w:rPr>
                <w:b/>
                <w:u w:val="single"/>
              </w:rPr>
              <w:t>QUESTION 1</w:t>
            </w:r>
          </w:p>
          <w:p w:rsidR="00CC2FB3" w:rsidRDefault="00CC2FB3" w:rsidP="00A851DA">
            <w:pPr>
              <w:rPr>
                <w:b/>
              </w:rPr>
            </w:pPr>
          </w:p>
          <w:p w:rsidR="00112A53" w:rsidRPr="001B1571" w:rsidRDefault="00BD1D62" w:rsidP="001B1571">
            <w:pPr>
              <w:pStyle w:val="ListParagraph"/>
              <w:numPr>
                <w:ilvl w:val="0"/>
                <w:numId w:val="5"/>
              </w:numPr>
            </w:pPr>
            <w:r w:rsidRPr="005502F3">
              <w:rPr>
                <w:b/>
              </w:rPr>
              <w:t>Reactive investigation</w:t>
            </w:r>
            <w:r w:rsidR="002A7E4F" w:rsidRPr="005502F3">
              <w:rPr>
                <w:b/>
              </w:rPr>
              <w:t>s</w:t>
            </w:r>
            <w:r w:rsidRPr="001B1571">
              <w:t xml:space="preserve"> are typically initiated by citizen/victim complaints and are a result of an external notification of the crime.</w:t>
            </w:r>
            <w:r w:rsidR="002A7E4F" w:rsidRPr="001B1571">
              <w:t xml:space="preserve"> The investigator will react only when the crime has been reported by an affected party i.e. employee, spouse, customer, stockholder, management or auditor. While a </w:t>
            </w:r>
            <w:r w:rsidR="002A7E4F" w:rsidRPr="005502F3">
              <w:rPr>
                <w:b/>
              </w:rPr>
              <w:t>proactive investigations</w:t>
            </w:r>
            <w:r w:rsidR="002A7E4F" w:rsidRPr="001B1571">
              <w:t xml:space="preserve"> take place as a result of the investigator’s findings. The investigator does not wait for the aggrieved party to complain and initiates action based on the evidence of fraud. Sometimes, financial crime is discovered accidentally in the wake of a </w:t>
            </w:r>
            <w:r w:rsidR="005502F3" w:rsidRPr="001B1571">
              <w:t>different fraud</w:t>
            </w:r>
            <w:r w:rsidR="002A7E4F" w:rsidRPr="001B1571">
              <w:t xml:space="preserve"> investigation</w:t>
            </w:r>
            <w:r w:rsidR="001B1571" w:rsidRPr="001B1571">
              <w:t xml:space="preserve">, while on other occasions the investigator has a general suspicion of wrongdoing and finds evidence </w:t>
            </w:r>
            <w:r w:rsidR="005502F3" w:rsidRPr="001B1571">
              <w:t>of fraud</w:t>
            </w:r>
            <w:r w:rsidR="001B1571" w:rsidRPr="001B1571">
              <w:t xml:space="preserve"> when he/she digs deeper into the matter.</w:t>
            </w:r>
            <w:r w:rsidR="004833FD">
              <w:t xml:space="preserve">  </w:t>
            </w:r>
          </w:p>
          <w:p w:rsidR="001B1571" w:rsidRPr="004833FD" w:rsidRDefault="001B1571" w:rsidP="001B1571">
            <w:pPr>
              <w:pStyle w:val="ListParagraph"/>
              <w:numPr>
                <w:ilvl w:val="0"/>
                <w:numId w:val="5"/>
              </w:numPr>
              <w:rPr>
                <w:b/>
              </w:rPr>
            </w:pPr>
            <w:r w:rsidRPr="005502F3">
              <w:rPr>
                <w:b/>
              </w:rPr>
              <w:t>Weighted solvability factors</w:t>
            </w:r>
            <w:r w:rsidR="005502F3">
              <w:rPr>
                <w:b/>
              </w:rPr>
              <w:t>:</w:t>
            </w:r>
            <w:r w:rsidR="005502F3">
              <w:t xml:space="preserve"> weighted systems separate the more solvable factors from the less solvable ones. They recognize that not all factors are equally important; for e.g. fingerprints found at the crime scene hold more weight than the existence of a witness. Statistical research and anecdotal experience determine weights in advance. Stanford research international’s</w:t>
            </w:r>
            <w:r w:rsidR="005164EC">
              <w:t xml:space="preserve"> (SRI)</w:t>
            </w:r>
            <w:r w:rsidR="00815B3B">
              <w:t xml:space="preserve"> </w:t>
            </w:r>
            <w:r w:rsidR="005502F3">
              <w:t xml:space="preserve">felony investigation decision model for burglary and bribery </w:t>
            </w:r>
            <w:r w:rsidR="005164EC">
              <w:t xml:space="preserve">is an example of a weighted system, while </w:t>
            </w:r>
            <w:r w:rsidR="005164EC" w:rsidRPr="005164EC">
              <w:rPr>
                <w:b/>
              </w:rPr>
              <w:t>un-weighted solvability factors</w:t>
            </w:r>
            <w:r w:rsidR="005164EC">
              <w:rPr>
                <w:b/>
              </w:rPr>
              <w:t xml:space="preserve">: </w:t>
            </w:r>
            <w:r w:rsidR="005164EC">
              <w:t xml:space="preserve">these systems do not assign weights to </w:t>
            </w:r>
            <w:r w:rsidR="00815B3B">
              <w:t>factors; therefore, all factor are equally important. The presence of factors determines whether the case will be investigated further or not. Unweighted schemes are usually based on anecdotal data and are specific to each agency.</w:t>
            </w:r>
          </w:p>
          <w:p w:rsidR="004833FD" w:rsidRPr="00433859" w:rsidRDefault="002B58F1" w:rsidP="001B1571">
            <w:pPr>
              <w:pStyle w:val="ListParagraph"/>
              <w:numPr>
                <w:ilvl w:val="0"/>
                <w:numId w:val="5"/>
              </w:numPr>
              <w:rPr>
                <w:b/>
              </w:rPr>
            </w:pPr>
            <w:r>
              <w:t>A fraud investigator’s first aim is to identify the complainant’s goal. For a criminal fraud investigation, this is fairly simple as the goal of the aggrieved party is to obtain reimbursement and/or the incarceration of the suspect. For a civil fraud investigator, this aim may not be as simple and clearly defined.</w:t>
            </w:r>
            <w:r w:rsidR="00433859">
              <w:t xml:space="preserve"> </w:t>
            </w:r>
          </w:p>
          <w:p w:rsidR="005D04CD" w:rsidRPr="005D04CD" w:rsidRDefault="00D761D4" w:rsidP="005D04CD">
            <w:pPr>
              <w:pStyle w:val="ListParagraph"/>
              <w:numPr>
                <w:ilvl w:val="0"/>
                <w:numId w:val="5"/>
              </w:numPr>
              <w:rPr>
                <w:b/>
              </w:rPr>
            </w:pPr>
            <w:r w:rsidRPr="00D761D4">
              <w:rPr>
                <w:b/>
              </w:rPr>
              <w:t>(A)</w:t>
            </w:r>
            <w:r>
              <w:rPr>
                <w:b/>
              </w:rPr>
              <w:t xml:space="preserve"> </w:t>
            </w:r>
            <w:r w:rsidRPr="00D761D4">
              <w:rPr>
                <w:b/>
              </w:rPr>
              <w:t>Obtainable result:</w:t>
            </w:r>
            <w:r>
              <w:t xml:space="preserve"> this is a result that might reasonably be expected considering the circumstances around which the investigation is being conducted together with the availability and the </w:t>
            </w:r>
            <w:r w:rsidR="0041707C">
              <w:t>current state</w:t>
            </w:r>
            <w:r>
              <w:t xml:space="preserve"> of technology. In a financial investigation, ‘’current’’ </w:t>
            </w:r>
            <w:r>
              <w:lastRenderedPageBreak/>
              <w:t>refers not only to the existing level of technology but also to the foreseeable state of technology in the lifespan of the investigation.</w:t>
            </w:r>
          </w:p>
          <w:p w:rsidR="00F720A5" w:rsidRPr="005D04CD" w:rsidRDefault="00F720A5" w:rsidP="005D04CD">
            <w:pPr>
              <w:ind w:left="360"/>
              <w:rPr>
                <w:b/>
              </w:rPr>
            </w:pPr>
            <w:r w:rsidRPr="005D04CD">
              <w:rPr>
                <w:b/>
              </w:rPr>
              <w:t xml:space="preserve">(B) </w:t>
            </w:r>
            <w:r w:rsidR="005D04CD" w:rsidRPr="005D04CD">
              <w:rPr>
                <w:b/>
              </w:rPr>
              <w:t>Acceptable</w:t>
            </w:r>
            <w:r w:rsidRPr="005D04CD">
              <w:rPr>
                <w:b/>
              </w:rPr>
              <w:t xml:space="preserve"> outcome: </w:t>
            </w:r>
            <w:r>
              <w:t xml:space="preserve">in financial crime investigation, an acceptance outcome is the final outcome that might reasonably be expected considering the current state of law, ‘’current’’ refers to the period of time delimited by the criminal acts in question. Simply </w:t>
            </w:r>
            <w:r w:rsidR="0041707C">
              <w:t>put,</w:t>
            </w:r>
            <w:r>
              <w:t xml:space="preserve"> it is the constitutional limitation against ex post facto laws. An acceptable outcome might </w:t>
            </w:r>
            <w:r w:rsidR="005D04CD">
              <w:t>include a punishment that did not exist at the time when the actual crime occurred but emerged during the lifespan of the investigation.</w:t>
            </w:r>
          </w:p>
          <w:p w:rsidR="005D04CD" w:rsidRPr="0041707C" w:rsidRDefault="005D04CD" w:rsidP="005D04CD">
            <w:pPr>
              <w:pStyle w:val="ListParagraph"/>
              <w:numPr>
                <w:ilvl w:val="0"/>
                <w:numId w:val="6"/>
              </w:numPr>
              <w:rPr>
                <w:b/>
              </w:rPr>
            </w:pPr>
            <w:r>
              <w:rPr>
                <w:b/>
              </w:rPr>
              <w:t>Focus:</w:t>
            </w:r>
            <w:r>
              <w:t xml:space="preserve"> an investigative plan should be focused and consistent with the goals of the investigation. This implies that warning signs an leads are not overlooked, and that there is no duplication of tasks</w:t>
            </w:r>
            <w:r w:rsidR="0041707C">
              <w:t>.</w:t>
            </w:r>
          </w:p>
          <w:p w:rsidR="0041707C" w:rsidRPr="0041707C" w:rsidRDefault="0041707C" w:rsidP="005D04CD">
            <w:pPr>
              <w:pStyle w:val="ListParagraph"/>
              <w:numPr>
                <w:ilvl w:val="0"/>
                <w:numId w:val="6"/>
              </w:numPr>
              <w:rPr>
                <w:b/>
              </w:rPr>
            </w:pPr>
            <w:r>
              <w:rPr>
                <w:b/>
              </w:rPr>
              <w:t xml:space="preserve">Control: </w:t>
            </w:r>
            <w:r>
              <w:t>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w:t>
            </w:r>
          </w:p>
          <w:p w:rsidR="0041707C" w:rsidRPr="005D04CD" w:rsidRDefault="0041707C" w:rsidP="005D04CD">
            <w:pPr>
              <w:pStyle w:val="ListParagraph"/>
              <w:numPr>
                <w:ilvl w:val="0"/>
                <w:numId w:val="6"/>
              </w:numPr>
              <w:rPr>
                <w:b/>
              </w:rPr>
            </w:pPr>
            <w:r>
              <w:rPr>
                <w:b/>
              </w:rPr>
              <w:t xml:space="preserve">Adaptability: </w:t>
            </w:r>
            <w:r w:rsidR="00C7514E">
              <w:t xml:space="preserve">financial investigations are ever evolving. They always grow, and sometimes even shrink, but they are constantly changing. Therefore, a good plan must be accommodating and </w:t>
            </w:r>
            <w:r w:rsidR="006E35EB">
              <w:t>flexible enough to adapt to these changes; otherwise, even a slight change will render the plan useless. The investigator will then have to hurriedly re-evaluate the plan, formulate a new one, or work with a temporary plan, which is never advisable.</w:t>
            </w:r>
          </w:p>
          <w:p w:rsidR="00CC2FB3" w:rsidRDefault="00CC2FB3" w:rsidP="00A851DA">
            <w:pPr>
              <w:rPr>
                <w:b/>
              </w:rPr>
            </w:pPr>
          </w:p>
          <w:p w:rsidR="00CC2FB3" w:rsidRDefault="006E35EB" w:rsidP="00A851DA">
            <w:r>
              <w:rPr>
                <w:b/>
              </w:rPr>
              <w:t>(V)</w:t>
            </w:r>
            <w:r w:rsidR="00ED2196">
              <w:rPr>
                <w:b/>
              </w:rPr>
              <w:t xml:space="preserve"> </w:t>
            </w:r>
            <w:r w:rsidR="00020DC1">
              <w:rPr>
                <w:b/>
              </w:rPr>
              <w:t>Financial</w:t>
            </w:r>
            <w:r w:rsidR="00ED2196">
              <w:rPr>
                <w:b/>
              </w:rPr>
              <w:t xml:space="preserve"> planning: </w:t>
            </w:r>
            <w:r w:rsidR="00020DC1">
              <w:t xml:space="preserve">investigators should be fiscally responsible and conserve their resources through preplanning because money is always scarce regardless of whether the investigator is or for the district attorney’s office. Therefore, compromises have to be made in order to minimize costs. The investigators need to indentify potentially expensive issues beforehand in order to consider the alternatives while there is still time. </w:t>
            </w:r>
          </w:p>
          <w:p w:rsidR="006F5F9E" w:rsidRDefault="006F5F9E" w:rsidP="00A851DA">
            <w:r>
              <w:rPr>
                <w:b/>
              </w:rPr>
              <w:t xml:space="preserve">Personal planning: </w:t>
            </w:r>
            <w:r>
              <w:t>after determining the scope and direction of the investigation, the next step is to predict the number of personnel that will be needed to conduct the investigation efficiently. It is desirable to pre plan for staffing requirements, especially in long and complex cases. Obtaining help from experts is one way of identifying important personnel positions. In today’s high-tech</w:t>
            </w:r>
            <w:r w:rsidR="002C09B5">
              <w:t xml:space="preserve"> age it is very common to face technological problems, especially those concerning computer –based information; therefore, an expert in the field of technology would be useful.</w:t>
            </w:r>
          </w:p>
          <w:p w:rsidR="002C09B5" w:rsidRDefault="002C09B5" w:rsidP="00A851DA">
            <w:r>
              <w:rPr>
                <w:b/>
              </w:rPr>
              <w:t>Technology planning:</w:t>
            </w:r>
            <w:r>
              <w:t xml:space="preserve"> investing in the latest technology is a necessity, especially as the world is undergoing a digital revolution and everything is becoming more computerized. Such investments, either temporary or permanent, must be carefully planned.</w:t>
            </w:r>
          </w:p>
          <w:p w:rsidR="00DE29D2" w:rsidRDefault="002C09B5" w:rsidP="00A851DA">
            <w:r>
              <w:t xml:space="preserve">Short-term or temporary investments would include rental equipment, such as high-tech </w:t>
            </w:r>
            <w:r w:rsidR="00DE29D2">
              <w:t>surveillance camera to monitor the suspect’s activities. Long-term investments would include purchasing the latest computer software or upgrading the equipment. While technological investments are usually pre-planned and evaluated with a cost-benefit analysis short –term investments trend to be unpredictable.</w:t>
            </w:r>
          </w:p>
          <w:p w:rsidR="002C09B5" w:rsidRPr="002C09B5" w:rsidRDefault="00DE29D2" w:rsidP="00A851DA">
            <w:r>
              <w:rPr>
                <w:b/>
              </w:rPr>
              <w:t>(V)</w:t>
            </w:r>
            <w:r w:rsidR="00FB7B36">
              <w:rPr>
                <w:b/>
              </w:rPr>
              <w:t>Intelligence gathering</w:t>
            </w:r>
            <w:r w:rsidR="00890AC2">
              <w:t>: are the following three;</w:t>
            </w:r>
          </w:p>
          <w:p w:rsidR="006F5F9E" w:rsidRPr="006F5F9E" w:rsidRDefault="006F5F9E" w:rsidP="00A851DA"/>
          <w:p w:rsidR="00501B6B" w:rsidRPr="00020DC1" w:rsidRDefault="00FB7B36" w:rsidP="00A851DA">
            <w:r>
              <w:rPr>
                <w:noProof/>
              </w:rPr>
              <w:lastRenderedPageBreak/>
              <w:drawing>
                <wp:inline distT="0" distB="0" distL="0" distR="0">
                  <wp:extent cx="5486400" cy="3200400"/>
                  <wp:effectExtent l="1905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C2FB3" w:rsidRDefault="00CC2FB3" w:rsidP="00A851DA">
            <w:pPr>
              <w:rPr>
                <w:b/>
              </w:rPr>
            </w:pPr>
          </w:p>
          <w:p w:rsidR="00CC2FB3" w:rsidRDefault="00CC2FB3" w:rsidP="00A851DA">
            <w:pPr>
              <w:rPr>
                <w:b/>
              </w:rPr>
            </w:pPr>
          </w:p>
          <w:p w:rsidR="00CC2FB3" w:rsidRDefault="00FE7EA7" w:rsidP="00A851DA">
            <w:pPr>
              <w:rPr>
                <w:b/>
                <w:u w:val="single"/>
              </w:rPr>
            </w:pPr>
            <w:r w:rsidRPr="00FE7EA7">
              <w:rPr>
                <w:b/>
                <w:u w:val="single"/>
              </w:rPr>
              <w:t>QUESTION 2</w:t>
            </w:r>
          </w:p>
          <w:p w:rsidR="007C0BE3" w:rsidRPr="000A1814" w:rsidRDefault="007C0BE3" w:rsidP="007C0BE3">
            <w:pPr>
              <w:pStyle w:val="ListParagraph"/>
              <w:numPr>
                <w:ilvl w:val="0"/>
                <w:numId w:val="7"/>
              </w:numPr>
              <w:rPr>
                <w:b/>
              </w:rPr>
            </w:pPr>
            <w:r w:rsidRPr="007C0BE3">
              <w:rPr>
                <w:b/>
              </w:rPr>
              <w:t>Private databases</w:t>
            </w:r>
            <w:r>
              <w:t xml:space="preserve">: these are databases to which access is restricted. They may include both government and commercial sources. An e.g. of a private database is a credit-reporting service such as Experian. Private databases can store a variety of crucial information such as data related to real estate, telephone </w:t>
            </w:r>
            <w:r w:rsidR="00073B41">
              <w:t>listings;</w:t>
            </w:r>
            <w:r>
              <w:t xml:space="preserve"> uniform commercial code liens etc </w:t>
            </w:r>
            <w:r w:rsidR="000A1814">
              <w:t>individuals might access private databases in exchange for a fee, while some information can only be accessed by law enforcement personal for legitimate purposes.</w:t>
            </w:r>
          </w:p>
          <w:p w:rsidR="000A1814" w:rsidRPr="00F02CD9" w:rsidRDefault="000A1814" w:rsidP="007C0BE3">
            <w:pPr>
              <w:pStyle w:val="ListParagraph"/>
              <w:numPr>
                <w:ilvl w:val="0"/>
                <w:numId w:val="7"/>
              </w:numPr>
              <w:rPr>
                <w:b/>
              </w:rPr>
            </w:pPr>
            <w:r>
              <w:rPr>
                <w:b/>
              </w:rPr>
              <w:t>Public database</w:t>
            </w:r>
            <w:r>
              <w:t xml:space="preserve">: these are less speedy but also less costly than private databases. Nowadays, more and more information is being made public as many government departments are making their databases available on the internet free of charge. For e.g. </w:t>
            </w:r>
            <w:r w:rsidR="00073B41">
              <w:t xml:space="preserve">property and tax assessment records can be accessed easily through the county clerk’s office. Corporate filings, civil and criminal histories and other such records are available at a nominal fee or free of charge. </w:t>
            </w:r>
          </w:p>
          <w:p w:rsidR="00F02CD9" w:rsidRPr="007C0BE3" w:rsidRDefault="00F02CD9" w:rsidP="00F02CD9">
            <w:pPr>
              <w:pStyle w:val="ListParagraph"/>
              <w:rPr>
                <w:b/>
              </w:rPr>
            </w:pPr>
          </w:p>
          <w:p w:rsidR="00CC2FB3" w:rsidRDefault="00F02CD9" w:rsidP="00A851DA">
            <w:pPr>
              <w:rPr>
                <w:b/>
                <w:u w:val="single"/>
              </w:rPr>
            </w:pPr>
            <w:r w:rsidRPr="00F02CD9">
              <w:rPr>
                <w:b/>
                <w:u w:val="single"/>
              </w:rPr>
              <w:t>QUESTION 3</w:t>
            </w:r>
          </w:p>
          <w:p w:rsidR="00F02CD9" w:rsidRDefault="006153DA" w:rsidP="00A851DA">
            <w:r>
              <w:t xml:space="preserve">All investigations, from those involving murder to those focused on financial crime, go through similar stages. Investigations begin with initiation and then proceed towards planning, execution, prosecution and finally, </w:t>
            </w:r>
            <w:r w:rsidR="00A405CD">
              <w:t>reflection. These</w:t>
            </w:r>
            <w:r>
              <w:t xml:space="preserve"> stages may overlap or become abbreviated in some cases; however, each </w:t>
            </w:r>
            <w:r w:rsidR="00A405CD">
              <w:t>stage</w:t>
            </w:r>
            <w:r>
              <w:t xml:space="preserve"> </w:t>
            </w:r>
            <w:r w:rsidR="00A405CD">
              <w:t>determines</w:t>
            </w:r>
            <w:r>
              <w:t xml:space="preserve"> the extent to which the investigation fulfils the interested parties’ expectations of it. </w:t>
            </w:r>
            <w:r w:rsidR="00A405CD">
              <w:t>There are mistakes in every investigation. They may occur during planning, executive or judgement, and they influence they outcome of the investigation. Errors during the planning stage may cause cost overruns, while mistakes that occur during execution may result in a mistrial or even an acquittal. These mistakes might be avoided and their effects minimized provided auditors have a through understanding of all stages involved in the investigation.</w:t>
            </w:r>
          </w:p>
          <w:p w:rsidR="006E62E2" w:rsidRDefault="006E62E2" w:rsidP="00A851DA"/>
          <w:p w:rsidR="00A405CD" w:rsidRDefault="00A405CD" w:rsidP="00A851DA">
            <w:r>
              <w:t xml:space="preserve">Although non-financial crime investigations have their own set of challenges, financial crime investigations require more evidence and are more complex than most murder </w:t>
            </w:r>
            <w:r w:rsidR="006E62E2">
              <w:t>and non- financial crime investigations. Therefore, understanding the process of process of investigation minimizing errors is even more important in financial crime investigations. These investigations require the most skilled and experienced investigators.</w:t>
            </w:r>
          </w:p>
          <w:p w:rsidR="00262F8E" w:rsidRPr="00262F8E" w:rsidRDefault="00262F8E" w:rsidP="00A851DA">
            <w:pPr>
              <w:rPr>
                <w:b/>
                <w:u w:val="single"/>
              </w:rPr>
            </w:pPr>
            <w:r w:rsidRPr="00262F8E">
              <w:rPr>
                <w:b/>
                <w:u w:val="single"/>
              </w:rPr>
              <w:t>CASE STUDY</w:t>
            </w:r>
          </w:p>
          <w:p w:rsidR="00CC2FB3" w:rsidRDefault="001C078A" w:rsidP="001C078A">
            <w:pPr>
              <w:pStyle w:val="ListParagraph"/>
              <w:numPr>
                <w:ilvl w:val="0"/>
                <w:numId w:val="8"/>
              </w:numPr>
            </w:pPr>
            <w:r w:rsidRPr="001C078A">
              <w:lastRenderedPageBreak/>
              <w:t>Bryon self –devised  accoun</w:t>
            </w:r>
            <w:r>
              <w:t>ting system is lacking a private database where only him can accessed to record k</w:t>
            </w:r>
            <w:r w:rsidR="00BB50AA">
              <w:t>eeping  and banking, but lack</w:t>
            </w:r>
            <w:r>
              <w:t xml:space="preserve"> of practice </w:t>
            </w:r>
            <w:r w:rsidR="00BB50AA">
              <w:t>in his work field and not enough experience put him at risk.</w:t>
            </w:r>
          </w:p>
          <w:p w:rsidR="00930370" w:rsidRPr="001C078A" w:rsidRDefault="00930370" w:rsidP="001C078A">
            <w:pPr>
              <w:pStyle w:val="ListParagraph"/>
              <w:numPr>
                <w:ilvl w:val="0"/>
                <w:numId w:val="8"/>
              </w:numPr>
            </w:pPr>
            <w:r>
              <w:t xml:space="preserve">Bryon shortfall are because there is poor accounting in his book and vat return is due and he is not familiar with the system, so he’s not following what the book-keeping was </w:t>
            </w:r>
            <w:r w:rsidR="00C243DB">
              <w:t>doing, so there fraud can occur without his knowledge.</w:t>
            </w:r>
          </w:p>
          <w:p w:rsidR="00262F8E" w:rsidRPr="00262F8E" w:rsidRDefault="00262F8E"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43DB"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43DB" w:rsidP="00A851DA">
            <w:pPr>
              <w:rPr>
                <w:rFonts w:cs="Bliss-Regular"/>
                <w:color w:val="000000"/>
              </w:rPr>
            </w:pPr>
            <w:r>
              <w:rPr>
                <w:rFonts w:cs="Bliss-Regular"/>
                <w:color w:val="000000"/>
              </w:rPr>
              <w:t>1/3/2016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788" w:rsidRDefault="007D1788" w:rsidP="00CB4D0A">
      <w:pPr>
        <w:spacing w:after="0" w:line="240" w:lineRule="auto"/>
      </w:pPr>
      <w:r>
        <w:separator/>
      </w:r>
    </w:p>
  </w:endnote>
  <w:endnote w:type="continuationSeparator" w:id="1">
    <w:p w:rsidR="007D1788" w:rsidRDefault="007D178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788" w:rsidRDefault="007D1788" w:rsidP="00CB4D0A">
      <w:pPr>
        <w:spacing w:after="0" w:line="240" w:lineRule="auto"/>
      </w:pPr>
      <w:r>
        <w:separator/>
      </w:r>
    </w:p>
  </w:footnote>
  <w:footnote w:type="continuationSeparator" w:id="1">
    <w:p w:rsidR="007D1788" w:rsidRDefault="007D178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2661F"/>
    <w:multiLevelType w:val="hybridMultilevel"/>
    <w:tmpl w:val="8F206792"/>
    <w:lvl w:ilvl="0" w:tplc="323C9BC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3E1164"/>
    <w:multiLevelType w:val="hybridMultilevel"/>
    <w:tmpl w:val="D270AB3A"/>
    <w:lvl w:ilvl="0" w:tplc="0CF8EE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C178B2"/>
    <w:multiLevelType w:val="hybridMultilevel"/>
    <w:tmpl w:val="4A38AE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2D123F"/>
    <w:multiLevelType w:val="hybridMultilevel"/>
    <w:tmpl w:val="D87492EE"/>
    <w:lvl w:ilvl="0" w:tplc="6B921B7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8C12D0"/>
    <w:multiLevelType w:val="hybridMultilevel"/>
    <w:tmpl w:val="D6B46DEA"/>
    <w:lvl w:ilvl="0" w:tplc="C3C03B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F86BD8"/>
    <w:multiLevelType w:val="hybridMultilevel"/>
    <w:tmpl w:val="49F4676C"/>
    <w:lvl w:ilvl="0" w:tplc="1F98516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9076EA"/>
    <w:multiLevelType w:val="hybridMultilevel"/>
    <w:tmpl w:val="4E8E1A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5"/>
  </w:num>
  <w:num w:numId="5">
    <w:abstractNumId w:val="0"/>
  </w:num>
  <w:num w:numId="6">
    <w:abstractNumId w:val="6"/>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20DC1"/>
    <w:rsid w:val="00035CDD"/>
    <w:rsid w:val="00040083"/>
    <w:rsid w:val="00055992"/>
    <w:rsid w:val="00073B41"/>
    <w:rsid w:val="000820E8"/>
    <w:rsid w:val="00090A94"/>
    <w:rsid w:val="000A049A"/>
    <w:rsid w:val="000A1814"/>
    <w:rsid w:val="000D7AFE"/>
    <w:rsid w:val="000F1A37"/>
    <w:rsid w:val="00112A53"/>
    <w:rsid w:val="001175EE"/>
    <w:rsid w:val="00134F7B"/>
    <w:rsid w:val="00157CF6"/>
    <w:rsid w:val="001600CA"/>
    <w:rsid w:val="00182416"/>
    <w:rsid w:val="00187EB4"/>
    <w:rsid w:val="001A192E"/>
    <w:rsid w:val="001B1571"/>
    <w:rsid w:val="001C078A"/>
    <w:rsid w:val="001F0481"/>
    <w:rsid w:val="00200C92"/>
    <w:rsid w:val="0020451E"/>
    <w:rsid w:val="00206B9D"/>
    <w:rsid w:val="00210FEC"/>
    <w:rsid w:val="002246CA"/>
    <w:rsid w:val="0023259C"/>
    <w:rsid w:val="00262F8E"/>
    <w:rsid w:val="002630AB"/>
    <w:rsid w:val="002A7E4F"/>
    <w:rsid w:val="002B0BD7"/>
    <w:rsid w:val="002B573D"/>
    <w:rsid w:val="002B58F1"/>
    <w:rsid w:val="002C09B5"/>
    <w:rsid w:val="002C5CB2"/>
    <w:rsid w:val="002F779F"/>
    <w:rsid w:val="00303204"/>
    <w:rsid w:val="003475EC"/>
    <w:rsid w:val="00371885"/>
    <w:rsid w:val="00374D3B"/>
    <w:rsid w:val="003E2B87"/>
    <w:rsid w:val="00402786"/>
    <w:rsid w:val="00405895"/>
    <w:rsid w:val="004058DF"/>
    <w:rsid w:val="0041707C"/>
    <w:rsid w:val="00433859"/>
    <w:rsid w:val="00443E6F"/>
    <w:rsid w:val="004833FD"/>
    <w:rsid w:val="00486F1A"/>
    <w:rsid w:val="00490CB9"/>
    <w:rsid w:val="004A2CE2"/>
    <w:rsid w:val="004E3CDA"/>
    <w:rsid w:val="004F2422"/>
    <w:rsid w:val="004F4B4D"/>
    <w:rsid w:val="00501B6B"/>
    <w:rsid w:val="0050216D"/>
    <w:rsid w:val="00503D7E"/>
    <w:rsid w:val="0050778F"/>
    <w:rsid w:val="005164EC"/>
    <w:rsid w:val="00527C11"/>
    <w:rsid w:val="005343AB"/>
    <w:rsid w:val="00535F31"/>
    <w:rsid w:val="00540A66"/>
    <w:rsid w:val="00546293"/>
    <w:rsid w:val="005502F3"/>
    <w:rsid w:val="00551A05"/>
    <w:rsid w:val="0057183E"/>
    <w:rsid w:val="00572A34"/>
    <w:rsid w:val="00574D64"/>
    <w:rsid w:val="00591365"/>
    <w:rsid w:val="005B31E4"/>
    <w:rsid w:val="005C66FF"/>
    <w:rsid w:val="005D04CD"/>
    <w:rsid w:val="005F3820"/>
    <w:rsid w:val="006034F6"/>
    <w:rsid w:val="00607874"/>
    <w:rsid w:val="00607E77"/>
    <w:rsid w:val="006153DA"/>
    <w:rsid w:val="00617BB3"/>
    <w:rsid w:val="00622445"/>
    <w:rsid w:val="00645CDD"/>
    <w:rsid w:val="006500FD"/>
    <w:rsid w:val="006823A7"/>
    <w:rsid w:val="00687EE8"/>
    <w:rsid w:val="006A74AD"/>
    <w:rsid w:val="006E35EB"/>
    <w:rsid w:val="006E62E2"/>
    <w:rsid w:val="006F5F9E"/>
    <w:rsid w:val="0070347F"/>
    <w:rsid w:val="0070678E"/>
    <w:rsid w:val="00746378"/>
    <w:rsid w:val="007C0BE3"/>
    <w:rsid w:val="007D1788"/>
    <w:rsid w:val="007D7A7A"/>
    <w:rsid w:val="00804EC0"/>
    <w:rsid w:val="00815B3B"/>
    <w:rsid w:val="00831C11"/>
    <w:rsid w:val="008328A7"/>
    <w:rsid w:val="00854D2F"/>
    <w:rsid w:val="00890AC2"/>
    <w:rsid w:val="008A60B4"/>
    <w:rsid w:val="008B0446"/>
    <w:rsid w:val="008B3C31"/>
    <w:rsid w:val="008B64FE"/>
    <w:rsid w:val="008C4D7F"/>
    <w:rsid w:val="008C5369"/>
    <w:rsid w:val="00930370"/>
    <w:rsid w:val="00935BF7"/>
    <w:rsid w:val="0095442C"/>
    <w:rsid w:val="00983942"/>
    <w:rsid w:val="009A06D1"/>
    <w:rsid w:val="009C37E0"/>
    <w:rsid w:val="009E41F4"/>
    <w:rsid w:val="00A14B66"/>
    <w:rsid w:val="00A2578F"/>
    <w:rsid w:val="00A405CD"/>
    <w:rsid w:val="00A64ABC"/>
    <w:rsid w:val="00A65CF7"/>
    <w:rsid w:val="00A81AB4"/>
    <w:rsid w:val="00A851DA"/>
    <w:rsid w:val="00A876A0"/>
    <w:rsid w:val="00AB1BB9"/>
    <w:rsid w:val="00AC6ECF"/>
    <w:rsid w:val="00AC7D5B"/>
    <w:rsid w:val="00AE1481"/>
    <w:rsid w:val="00AF74C2"/>
    <w:rsid w:val="00B0415E"/>
    <w:rsid w:val="00B04678"/>
    <w:rsid w:val="00B131A5"/>
    <w:rsid w:val="00BB50AA"/>
    <w:rsid w:val="00BC46DF"/>
    <w:rsid w:val="00BD1D62"/>
    <w:rsid w:val="00C03577"/>
    <w:rsid w:val="00C243DB"/>
    <w:rsid w:val="00C40EE2"/>
    <w:rsid w:val="00C51FD4"/>
    <w:rsid w:val="00C53029"/>
    <w:rsid w:val="00C65FEA"/>
    <w:rsid w:val="00C7514E"/>
    <w:rsid w:val="00C8345B"/>
    <w:rsid w:val="00C844E2"/>
    <w:rsid w:val="00C862E2"/>
    <w:rsid w:val="00CA0AC2"/>
    <w:rsid w:val="00CB4D0A"/>
    <w:rsid w:val="00CC2FB3"/>
    <w:rsid w:val="00CC575A"/>
    <w:rsid w:val="00CF123B"/>
    <w:rsid w:val="00CF5971"/>
    <w:rsid w:val="00D039AC"/>
    <w:rsid w:val="00D427DE"/>
    <w:rsid w:val="00D5587D"/>
    <w:rsid w:val="00D575AA"/>
    <w:rsid w:val="00D707CC"/>
    <w:rsid w:val="00D761D4"/>
    <w:rsid w:val="00D821FE"/>
    <w:rsid w:val="00D96403"/>
    <w:rsid w:val="00DB0793"/>
    <w:rsid w:val="00DC78A5"/>
    <w:rsid w:val="00DE29D2"/>
    <w:rsid w:val="00E00821"/>
    <w:rsid w:val="00E04DB4"/>
    <w:rsid w:val="00E30679"/>
    <w:rsid w:val="00E4597D"/>
    <w:rsid w:val="00E54832"/>
    <w:rsid w:val="00E56A90"/>
    <w:rsid w:val="00E641CC"/>
    <w:rsid w:val="00EA30AB"/>
    <w:rsid w:val="00EA49F2"/>
    <w:rsid w:val="00EB3925"/>
    <w:rsid w:val="00ED2196"/>
    <w:rsid w:val="00EE22B5"/>
    <w:rsid w:val="00F02CD9"/>
    <w:rsid w:val="00F3054B"/>
    <w:rsid w:val="00F45BA5"/>
    <w:rsid w:val="00F648FE"/>
    <w:rsid w:val="00F64A41"/>
    <w:rsid w:val="00F67687"/>
    <w:rsid w:val="00F720A5"/>
    <w:rsid w:val="00F96EB3"/>
    <w:rsid w:val="00FB7B36"/>
    <w:rsid w:val="00FE45E2"/>
    <w:rsid w:val="00FE7EA7"/>
    <w:rsid w:val="00FF1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B5A495-0727-4E6E-8980-BF00274F88AA}"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BEEFD1DA-94BE-464F-957D-5C9CCEE03D73}">
      <dgm:prSet phldrT="[Text]"/>
      <dgm:spPr/>
      <dgm:t>
        <a:bodyPr/>
        <a:lstStyle/>
        <a:p>
          <a:r>
            <a:rPr lang="en-US"/>
            <a:t>Surveillance</a:t>
          </a:r>
        </a:p>
      </dgm:t>
    </dgm:pt>
    <dgm:pt modelId="{142B52BA-7AE7-43AA-AC32-2E8F15BE169B}" type="parTrans" cxnId="{0EB34B1B-D018-4A82-8F7B-A9ED4FA8B2FE}">
      <dgm:prSet/>
      <dgm:spPr/>
      <dgm:t>
        <a:bodyPr/>
        <a:lstStyle/>
        <a:p>
          <a:endParaRPr lang="en-US"/>
        </a:p>
      </dgm:t>
    </dgm:pt>
    <dgm:pt modelId="{30A7E3A5-3960-4E04-AAE2-586114778C9C}" type="sibTrans" cxnId="{0EB34B1B-D018-4A82-8F7B-A9ED4FA8B2FE}">
      <dgm:prSet/>
      <dgm:spPr/>
      <dgm:t>
        <a:bodyPr/>
        <a:lstStyle/>
        <a:p>
          <a:endParaRPr lang="en-US"/>
        </a:p>
      </dgm:t>
    </dgm:pt>
    <dgm:pt modelId="{C33DF865-63C1-494C-8224-C8E17430EE61}">
      <dgm:prSet phldrT="[Text]"/>
      <dgm:spPr/>
      <dgm:t>
        <a:bodyPr/>
        <a:lstStyle/>
        <a:p>
          <a:r>
            <a:rPr lang="en-US"/>
            <a:t>Database</a:t>
          </a:r>
        </a:p>
      </dgm:t>
    </dgm:pt>
    <dgm:pt modelId="{7836BAA4-59C8-44EF-94CB-B68E76AA6B06}" type="parTrans" cxnId="{284A07EC-12B7-47D9-AA96-7775B4899A17}">
      <dgm:prSet/>
      <dgm:spPr/>
      <dgm:t>
        <a:bodyPr/>
        <a:lstStyle/>
        <a:p>
          <a:endParaRPr lang="en-US"/>
        </a:p>
      </dgm:t>
    </dgm:pt>
    <dgm:pt modelId="{8F981887-358A-45AF-BA3C-14F5564187A9}" type="sibTrans" cxnId="{284A07EC-12B7-47D9-AA96-7775B4899A17}">
      <dgm:prSet/>
      <dgm:spPr/>
      <dgm:t>
        <a:bodyPr/>
        <a:lstStyle/>
        <a:p>
          <a:endParaRPr lang="en-US"/>
        </a:p>
      </dgm:t>
    </dgm:pt>
    <dgm:pt modelId="{BF464464-5B63-4DAB-8EEC-2902F8D04DC0}">
      <dgm:prSet phldrT="[Text]"/>
      <dgm:spPr/>
      <dgm:t>
        <a:bodyPr/>
        <a:lstStyle/>
        <a:p>
          <a:r>
            <a:rPr lang="en-US"/>
            <a:t>Trash collection</a:t>
          </a:r>
        </a:p>
      </dgm:t>
    </dgm:pt>
    <dgm:pt modelId="{C6981BB3-72BD-4607-BE96-9D49F1808923}" type="parTrans" cxnId="{F1F9D47C-9DDA-472D-B185-199C6C376358}">
      <dgm:prSet/>
      <dgm:spPr/>
      <dgm:t>
        <a:bodyPr/>
        <a:lstStyle/>
        <a:p>
          <a:endParaRPr lang="en-US"/>
        </a:p>
      </dgm:t>
    </dgm:pt>
    <dgm:pt modelId="{AF2D2F71-BB78-4A7D-B7F1-9D94E4708671}" type="sibTrans" cxnId="{F1F9D47C-9DDA-472D-B185-199C6C376358}">
      <dgm:prSet/>
      <dgm:spPr/>
      <dgm:t>
        <a:bodyPr/>
        <a:lstStyle/>
        <a:p>
          <a:endParaRPr lang="en-US"/>
        </a:p>
      </dgm:t>
    </dgm:pt>
    <dgm:pt modelId="{C45F163B-4997-49FF-9762-941698D6B2A4}" type="pres">
      <dgm:prSet presAssocID="{72B5A495-0727-4E6E-8980-BF00274F88AA}" presName="linear" presStyleCnt="0">
        <dgm:presLayoutVars>
          <dgm:dir/>
          <dgm:animLvl val="lvl"/>
          <dgm:resizeHandles val="exact"/>
        </dgm:presLayoutVars>
      </dgm:prSet>
      <dgm:spPr/>
    </dgm:pt>
    <dgm:pt modelId="{272D7DDA-74D2-41C7-9C1E-624601AAC64A}" type="pres">
      <dgm:prSet presAssocID="{BEEFD1DA-94BE-464F-957D-5C9CCEE03D73}" presName="parentLin" presStyleCnt="0"/>
      <dgm:spPr/>
    </dgm:pt>
    <dgm:pt modelId="{F9816A0F-D385-4289-A5F7-79C01D12B7E1}" type="pres">
      <dgm:prSet presAssocID="{BEEFD1DA-94BE-464F-957D-5C9CCEE03D73}" presName="parentLeftMargin" presStyleLbl="node1" presStyleIdx="0" presStyleCnt="3"/>
      <dgm:spPr/>
    </dgm:pt>
    <dgm:pt modelId="{86040D43-4DB4-4574-BBCD-FF433C383474}" type="pres">
      <dgm:prSet presAssocID="{BEEFD1DA-94BE-464F-957D-5C9CCEE03D73}" presName="parentText" presStyleLbl="node1" presStyleIdx="0" presStyleCnt="3">
        <dgm:presLayoutVars>
          <dgm:chMax val="0"/>
          <dgm:bulletEnabled val="1"/>
        </dgm:presLayoutVars>
      </dgm:prSet>
      <dgm:spPr/>
      <dgm:t>
        <a:bodyPr/>
        <a:lstStyle/>
        <a:p>
          <a:endParaRPr lang="en-US"/>
        </a:p>
      </dgm:t>
    </dgm:pt>
    <dgm:pt modelId="{043B6094-5DEE-494A-BAF0-04E15FC81266}" type="pres">
      <dgm:prSet presAssocID="{BEEFD1DA-94BE-464F-957D-5C9CCEE03D73}" presName="negativeSpace" presStyleCnt="0"/>
      <dgm:spPr/>
    </dgm:pt>
    <dgm:pt modelId="{F503AD27-51AB-4F1A-994D-CAF1B144C835}" type="pres">
      <dgm:prSet presAssocID="{BEEFD1DA-94BE-464F-957D-5C9CCEE03D73}" presName="childText" presStyleLbl="conFgAcc1" presStyleIdx="0" presStyleCnt="3">
        <dgm:presLayoutVars>
          <dgm:bulletEnabled val="1"/>
        </dgm:presLayoutVars>
      </dgm:prSet>
      <dgm:spPr/>
    </dgm:pt>
    <dgm:pt modelId="{77FA4D90-654A-4A54-8752-A15C0FF9FEA7}" type="pres">
      <dgm:prSet presAssocID="{30A7E3A5-3960-4E04-AAE2-586114778C9C}" presName="spaceBetweenRectangles" presStyleCnt="0"/>
      <dgm:spPr/>
    </dgm:pt>
    <dgm:pt modelId="{F6A49212-167D-4A67-8E77-3D4200D33DEA}" type="pres">
      <dgm:prSet presAssocID="{C33DF865-63C1-494C-8224-C8E17430EE61}" presName="parentLin" presStyleCnt="0"/>
      <dgm:spPr/>
    </dgm:pt>
    <dgm:pt modelId="{5781B3D6-97C7-479C-8039-02BCB3A78B2E}" type="pres">
      <dgm:prSet presAssocID="{C33DF865-63C1-494C-8224-C8E17430EE61}" presName="parentLeftMargin" presStyleLbl="node1" presStyleIdx="0" presStyleCnt="3"/>
      <dgm:spPr/>
    </dgm:pt>
    <dgm:pt modelId="{0F80C430-AC79-4956-B629-E077456EFE6B}" type="pres">
      <dgm:prSet presAssocID="{C33DF865-63C1-494C-8224-C8E17430EE61}" presName="parentText" presStyleLbl="node1" presStyleIdx="1" presStyleCnt="3">
        <dgm:presLayoutVars>
          <dgm:chMax val="0"/>
          <dgm:bulletEnabled val="1"/>
        </dgm:presLayoutVars>
      </dgm:prSet>
      <dgm:spPr/>
      <dgm:t>
        <a:bodyPr/>
        <a:lstStyle/>
        <a:p>
          <a:endParaRPr lang="en-US"/>
        </a:p>
      </dgm:t>
    </dgm:pt>
    <dgm:pt modelId="{AD866C58-B46D-4004-B7D6-62C78E8BDE17}" type="pres">
      <dgm:prSet presAssocID="{C33DF865-63C1-494C-8224-C8E17430EE61}" presName="negativeSpace" presStyleCnt="0"/>
      <dgm:spPr/>
    </dgm:pt>
    <dgm:pt modelId="{E1629FD3-A485-438A-A9FC-6D9BB49A36DF}" type="pres">
      <dgm:prSet presAssocID="{C33DF865-63C1-494C-8224-C8E17430EE61}" presName="childText" presStyleLbl="conFgAcc1" presStyleIdx="1" presStyleCnt="3">
        <dgm:presLayoutVars>
          <dgm:bulletEnabled val="1"/>
        </dgm:presLayoutVars>
      </dgm:prSet>
      <dgm:spPr/>
    </dgm:pt>
    <dgm:pt modelId="{EB4D1163-BF54-4809-8C80-154D5DD548B7}" type="pres">
      <dgm:prSet presAssocID="{8F981887-358A-45AF-BA3C-14F5564187A9}" presName="spaceBetweenRectangles" presStyleCnt="0"/>
      <dgm:spPr/>
    </dgm:pt>
    <dgm:pt modelId="{815F5A50-03B0-4D1A-B378-87608E8C26F1}" type="pres">
      <dgm:prSet presAssocID="{BF464464-5B63-4DAB-8EEC-2902F8D04DC0}" presName="parentLin" presStyleCnt="0"/>
      <dgm:spPr/>
    </dgm:pt>
    <dgm:pt modelId="{AC65A440-3C8B-4687-BF9C-9D3E65895AFD}" type="pres">
      <dgm:prSet presAssocID="{BF464464-5B63-4DAB-8EEC-2902F8D04DC0}" presName="parentLeftMargin" presStyleLbl="node1" presStyleIdx="1" presStyleCnt="3"/>
      <dgm:spPr/>
    </dgm:pt>
    <dgm:pt modelId="{3E9B7B5E-38CB-44F6-BC07-75AB30BC73A8}" type="pres">
      <dgm:prSet presAssocID="{BF464464-5B63-4DAB-8EEC-2902F8D04DC0}" presName="parentText" presStyleLbl="node1" presStyleIdx="2" presStyleCnt="3" custLinFactNeighborX="7752" custLinFactNeighborY="1501">
        <dgm:presLayoutVars>
          <dgm:chMax val="0"/>
          <dgm:bulletEnabled val="1"/>
        </dgm:presLayoutVars>
      </dgm:prSet>
      <dgm:spPr/>
      <dgm:t>
        <a:bodyPr/>
        <a:lstStyle/>
        <a:p>
          <a:endParaRPr lang="en-US"/>
        </a:p>
      </dgm:t>
    </dgm:pt>
    <dgm:pt modelId="{AB5F61FD-679E-4E36-B531-7B8D0C439DF2}" type="pres">
      <dgm:prSet presAssocID="{BF464464-5B63-4DAB-8EEC-2902F8D04DC0}" presName="negativeSpace" presStyleCnt="0"/>
      <dgm:spPr/>
    </dgm:pt>
    <dgm:pt modelId="{3A6D693A-7443-413B-9A03-D59FA3B2D59B}" type="pres">
      <dgm:prSet presAssocID="{BF464464-5B63-4DAB-8EEC-2902F8D04DC0}" presName="childText" presStyleLbl="conFgAcc1" presStyleIdx="2" presStyleCnt="3">
        <dgm:presLayoutVars>
          <dgm:bulletEnabled val="1"/>
        </dgm:presLayoutVars>
      </dgm:prSet>
      <dgm:spPr/>
    </dgm:pt>
  </dgm:ptLst>
  <dgm:cxnLst>
    <dgm:cxn modelId="{0EB34B1B-D018-4A82-8F7B-A9ED4FA8B2FE}" srcId="{72B5A495-0727-4E6E-8980-BF00274F88AA}" destId="{BEEFD1DA-94BE-464F-957D-5C9CCEE03D73}" srcOrd="0" destOrd="0" parTransId="{142B52BA-7AE7-43AA-AC32-2E8F15BE169B}" sibTransId="{30A7E3A5-3960-4E04-AAE2-586114778C9C}"/>
    <dgm:cxn modelId="{8C5E7661-E096-44BA-AAF5-138E190B5969}" type="presOf" srcId="{C33DF865-63C1-494C-8224-C8E17430EE61}" destId="{5781B3D6-97C7-479C-8039-02BCB3A78B2E}" srcOrd="0" destOrd="0" presId="urn:microsoft.com/office/officeart/2005/8/layout/list1"/>
    <dgm:cxn modelId="{F1F9D47C-9DDA-472D-B185-199C6C376358}" srcId="{72B5A495-0727-4E6E-8980-BF00274F88AA}" destId="{BF464464-5B63-4DAB-8EEC-2902F8D04DC0}" srcOrd="2" destOrd="0" parTransId="{C6981BB3-72BD-4607-BE96-9D49F1808923}" sibTransId="{AF2D2F71-BB78-4A7D-B7F1-9D94E4708671}"/>
    <dgm:cxn modelId="{CAF1FE48-0561-4B16-B935-ABF5CAC4879B}" type="presOf" srcId="{BEEFD1DA-94BE-464F-957D-5C9CCEE03D73}" destId="{86040D43-4DB4-4574-BBCD-FF433C383474}" srcOrd="1" destOrd="0" presId="urn:microsoft.com/office/officeart/2005/8/layout/list1"/>
    <dgm:cxn modelId="{A271EEB7-B43C-4CA1-AB41-E14587942D5A}" type="presOf" srcId="{BF464464-5B63-4DAB-8EEC-2902F8D04DC0}" destId="{3E9B7B5E-38CB-44F6-BC07-75AB30BC73A8}" srcOrd="1" destOrd="0" presId="urn:microsoft.com/office/officeart/2005/8/layout/list1"/>
    <dgm:cxn modelId="{5322BE1C-3334-432F-B74D-EE7A74CC22B3}" type="presOf" srcId="{C33DF865-63C1-494C-8224-C8E17430EE61}" destId="{0F80C430-AC79-4956-B629-E077456EFE6B}" srcOrd="1" destOrd="0" presId="urn:microsoft.com/office/officeart/2005/8/layout/list1"/>
    <dgm:cxn modelId="{C33411B2-A258-4DF1-98DA-DC51E64C4C17}" type="presOf" srcId="{BEEFD1DA-94BE-464F-957D-5C9CCEE03D73}" destId="{F9816A0F-D385-4289-A5F7-79C01D12B7E1}" srcOrd="0" destOrd="0" presId="urn:microsoft.com/office/officeart/2005/8/layout/list1"/>
    <dgm:cxn modelId="{67EE1AB6-4E93-4202-ADDC-01E3852A3EDC}" type="presOf" srcId="{BF464464-5B63-4DAB-8EEC-2902F8D04DC0}" destId="{AC65A440-3C8B-4687-BF9C-9D3E65895AFD}" srcOrd="0" destOrd="0" presId="urn:microsoft.com/office/officeart/2005/8/layout/list1"/>
    <dgm:cxn modelId="{284A07EC-12B7-47D9-AA96-7775B4899A17}" srcId="{72B5A495-0727-4E6E-8980-BF00274F88AA}" destId="{C33DF865-63C1-494C-8224-C8E17430EE61}" srcOrd="1" destOrd="0" parTransId="{7836BAA4-59C8-44EF-94CB-B68E76AA6B06}" sibTransId="{8F981887-358A-45AF-BA3C-14F5564187A9}"/>
    <dgm:cxn modelId="{47D00019-CD01-4F39-9015-9E5E2CF2C6D3}" type="presOf" srcId="{72B5A495-0727-4E6E-8980-BF00274F88AA}" destId="{C45F163B-4997-49FF-9762-941698D6B2A4}" srcOrd="0" destOrd="0" presId="urn:microsoft.com/office/officeart/2005/8/layout/list1"/>
    <dgm:cxn modelId="{2C08EF67-0946-458B-BEEB-CE2C4CA19D4F}" type="presParOf" srcId="{C45F163B-4997-49FF-9762-941698D6B2A4}" destId="{272D7DDA-74D2-41C7-9C1E-624601AAC64A}" srcOrd="0" destOrd="0" presId="urn:microsoft.com/office/officeart/2005/8/layout/list1"/>
    <dgm:cxn modelId="{F92EF2C4-E606-407F-AD2A-AD2259507F7F}" type="presParOf" srcId="{272D7DDA-74D2-41C7-9C1E-624601AAC64A}" destId="{F9816A0F-D385-4289-A5F7-79C01D12B7E1}" srcOrd="0" destOrd="0" presId="urn:microsoft.com/office/officeart/2005/8/layout/list1"/>
    <dgm:cxn modelId="{33E9667E-8B32-4E8D-B297-F11C9D4B4586}" type="presParOf" srcId="{272D7DDA-74D2-41C7-9C1E-624601AAC64A}" destId="{86040D43-4DB4-4574-BBCD-FF433C383474}" srcOrd="1" destOrd="0" presId="urn:microsoft.com/office/officeart/2005/8/layout/list1"/>
    <dgm:cxn modelId="{204E0494-37A8-4FEB-A1C8-68E77363A319}" type="presParOf" srcId="{C45F163B-4997-49FF-9762-941698D6B2A4}" destId="{043B6094-5DEE-494A-BAF0-04E15FC81266}" srcOrd="1" destOrd="0" presId="urn:microsoft.com/office/officeart/2005/8/layout/list1"/>
    <dgm:cxn modelId="{ECFE6A2F-889B-4F08-A8E1-D85EE3513947}" type="presParOf" srcId="{C45F163B-4997-49FF-9762-941698D6B2A4}" destId="{F503AD27-51AB-4F1A-994D-CAF1B144C835}" srcOrd="2" destOrd="0" presId="urn:microsoft.com/office/officeart/2005/8/layout/list1"/>
    <dgm:cxn modelId="{9F444217-524B-4FBD-980F-B32B484D4E8B}" type="presParOf" srcId="{C45F163B-4997-49FF-9762-941698D6B2A4}" destId="{77FA4D90-654A-4A54-8752-A15C0FF9FEA7}" srcOrd="3" destOrd="0" presId="urn:microsoft.com/office/officeart/2005/8/layout/list1"/>
    <dgm:cxn modelId="{304E3A17-B4C8-4835-A60F-2516AC144010}" type="presParOf" srcId="{C45F163B-4997-49FF-9762-941698D6B2A4}" destId="{F6A49212-167D-4A67-8E77-3D4200D33DEA}" srcOrd="4" destOrd="0" presId="urn:microsoft.com/office/officeart/2005/8/layout/list1"/>
    <dgm:cxn modelId="{815F0F8F-CCD3-4ACA-A887-1E0FCFAF24AA}" type="presParOf" srcId="{F6A49212-167D-4A67-8E77-3D4200D33DEA}" destId="{5781B3D6-97C7-479C-8039-02BCB3A78B2E}" srcOrd="0" destOrd="0" presId="urn:microsoft.com/office/officeart/2005/8/layout/list1"/>
    <dgm:cxn modelId="{414A75F7-4068-4413-AAE2-90E5B3ADD1F1}" type="presParOf" srcId="{F6A49212-167D-4A67-8E77-3D4200D33DEA}" destId="{0F80C430-AC79-4956-B629-E077456EFE6B}" srcOrd="1" destOrd="0" presId="urn:microsoft.com/office/officeart/2005/8/layout/list1"/>
    <dgm:cxn modelId="{10686314-2323-4A2D-9BEC-FF5F223A998D}" type="presParOf" srcId="{C45F163B-4997-49FF-9762-941698D6B2A4}" destId="{AD866C58-B46D-4004-B7D6-62C78E8BDE17}" srcOrd="5" destOrd="0" presId="urn:microsoft.com/office/officeart/2005/8/layout/list1"/>
    <dgm:cxn modelId="{14711380-D410-4BA3-A115-8DF12F4D2861}" type="presParOf" srcId="{C45F163B-4997-49FF-9762-941698D6B2A4}" destId="{E1629FD3-A485-438A-A9FC-6D9BB49A36DF}" srcOrd="6" destOrd="0" presId="urn:microsoft.com/office/officeart/2005/8/layout/list1"/>
    <dgm:cxn modelId="{85C552EA-BF7B-4110-90F5-56AD55A30E2D}" type="presParOf" srcId="{C45F163B-4997-49FF-9762-941698D6B2A4}" destId="{EB4D1163-BF54-4809-8C80-154D5DD548B7}" srcOrd="7" destOrd="0" presId="urn:microsoft.com/office/officeart/2005/8/layout/list1"/>
    <dgm:cxn modelId="{37F628B1-6420-4BCA-98C2-56A65736E696}" type="presParOf" srcId="{C45F163B-4997-49FF-9762-941698D6B2A4}" destId="{815F5A50-03B0-4D1A-B378-87608E8C26F1}" srcOrd="8" destOrd="0" presId="urn:microsoft.com/office/officeart/2005/8/layout/list1"/>
    <dgm:cxn modelId="{632998BD-8808-4875-989F-96F0C286CAC4}" type="presParOf" srcId="{815F5A50-03B0-4D1A-B378-87608E8C26F1}" destId="{AC65A440-3C8B-4687-BF9C-9D3E65895AFD}" srcOrd="0" destOrd="0" presId="urn:microsoft.com/office/officeart/2005/8/layout/list1"/>
    <dgm:cxn modelId="{B5A67EF2-B2D4-4020-A0A2-3947F0194FA2}" type="presParOf" srcId="{815F5A50-03B0-4D1A-B378-87608E8C26F1}" destId="{3E9B7B5E-38CB-44F6-BC07-75AB30BC73A8}" srcOrd="1" destOrd="0" presId="urn:microsoft.com/office/officeart/2005/8/layout/list1"/>
    <dgm:cxn modelId="{F6ED230F-2C14-44EE-B65E-D64C3B6E9170}" type="presParOf" srcId="{C45F163B-4997-49FF-9762-941698D6B2A4}" destId="{AB5F61FD-679E-4E36-B531-7B8D0C439DF2}" srcOrd="9" destOrd="0" presId="urn:microsoft.com/office/officeart/2005/8/layout/list1"/>
    <dgm:cxn modelId="{FCABE9B2-97BF-4A36-80BE-15DB35D2581A}" type="presParOf" srcId="{C45F163B-4997-49FF-9762-941698D6B2A4}" destId="{3A6D693A-7443-413B-9A03-D59FA3B2D59B}" srcOrd="10" destOrd="0" presId="urn:microsoft.com/office/officeart/2005/8/layout/list1"/>
  </dgm:cxnLst>
  <dgm:bg/>
  <dgm:whole/>
</dgm:dataModel>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EAA48-79E8-45DE-9AB5-2A7CCEAFA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4</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lamin</cp:lastModifiedBy>
  <cp:revision>39</cp:revision>
  <dcterms:created xsi:type="dcterms:W3CDTF">2015-01-26T12:24:00Z</dcterms:created>
  <dcterms:modified xsi:type="dcterms:W3CDTF">2016-03-01T17:36:00Z</dcterms:modified>
</cp:coreProperties>
</file>