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58B70288" w14:textId="77777777" w:rsidR="00A851DA" w:rsidRPr="00B0415E" w:rsidRDefault="00607874" w:rsidP="00A851DA">
      <w:pPr>
        <w:pStyle w:val="Default"/>
        <w:rPr>
          <w:rFonts w:asciiTheme="minorHAnsi" w:hAnsiTheme="minorHAnsi"/>
        </w:rPr>
      </w:pPr>
      <w:r>
        <w:rPr>
          <w:rFonts w:asciiTheme="minorHAnsi" w:hAnsiTheme="minorHAnsi"/>
          <w:noProof/>
        </w:rPr>
        <w:drawing>
          <wp:anchor distT="0" distB="0" distL="114300" distR="114300" simplePos="0" relativeHeight="251658240" behindDoc="0" locked="0" layoutInCell="1" allowOverlap="1" wp14:anchorId="4A76BDDB" wp14:editId="485E5E70">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9"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14:paraId="7FE8F072" w14:textId="77777777" w:rsidR="00607874" w:rsidRDefault="004067A8" w:rsidP="00A851DA">
      <w:pPr>
        <w:rPr>
          <w:lang w:val="en-US"/>
        </w:rPr>
      </w:pPr>
      <w:r>
        <w:rPr>
          <w:noProof/>
          <w:lang w:val="en-US"/>
        </w:rPr>
        <mc:AlternateContent>
          <mc:Choice Requires="wps">
            <w:drawing>
              <wp:anchor distT="0" distB="0" distL="114300" distR="114300" simplePos="0" relativeHeight="251660288" behindDoc="0" locked="0" layoutInCell="1" allowOverlap="1" wp14:anchorId="6759CD65" wp14:editId="7B298C4E">
                <wp:simplePos x="0" y="0"/>
                <wp:positionH relativeFrom="column">
                  <wp:posOffset>2889885</wp:posOffset>
                </wp:positionH>
                <wp:positionV relativeFrom="paragraph">
                  <wp:posOffset>99695</wp:posOffset>
                </wp:positionV>
                <wp:extent cx="3114040" cy="466725"/>
                <wp:effectExtent l="0" t="6350" r="3175"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5E3FDC88" w14:textId="77777777" w:rsidR="008158EA" w:rsidRDefault="008158EA" w:rsidP="00405895">
                            <w:pPr>
                              <w:jc w:val="center"/>
                              <w:rPr>
                                <w:b/>
                                <w:bCs/>
                                <w:color w:val="002060"/>
                                <w:sz w:val="44"/>
                                <w:szCs w:val="40"/>
                              </w:rPr>
                            </w:pPr>
                            <w:r>
                              <w:rPr>
                                <w:sz w:val="24"/>
                              </w:rPr>
                              <w:t xml:space="preserve">   </w:t>
                            </w:r>
                            <w:r>
                              <w:rPr>
                                <w:b/>
                                <w:bCs/>
                                <w:color w:val="002060"/>
                                <w:sz w:val="44"/>
                                <w:szCs w:val="40"/>
                              </w:rPr>
                              <w:t>Assignment Cover Sheet</w:t>
                            </w:r>
                          </w:p>
                          <w:p w14:paraId="52FC2B37" w14:textId="77777777" w:rsidR="008158EA" w:rsidRDefault="008158EA"/>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0,0l0,21600,21600,21600,2160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p>
    <w:p w14:paraId="265D4BD6" w14:textId="77777777" w:rsidR="00607874" w:rsidRDefault="00607874" w:rsidP="00A851DA">
      <w:pPr>
        <w:rPr>
          <w:lang w:val="en-US"/>
        </w:rPr>
      </w:pPr>
    </w:p>
    <w:p w14:paraId="6433257C" w14:textId="77777777" w:rsidR="00607874" w:rsidRDefault="00607874" w:rsidP="00A851DA">
      <w:pPr>
        <w:rPr>
          <w:lang w:val="en-US"/>
        </w:rPr>
      </w:pPr>
    </w:p>
    <w:p w14:paraId="1931F099" w14:textId="77777777" w:rsidR="00607874" w:rsidRDefault="00607874" w:rsidP="00A851DA">
      <w:pPr>
        <w:rPr>
          <w:lang w:val="en-US"/>
        </w:rPr>
      </w:pPr>
    </w:p>
    <w:tbl>
      <w:tblPr>
        <w:tblStyle w:val="TableGrid"/>
        <w:tblW w:w="0" w:type="auto"/>
        <w:tblLook w:val="04A0" w:firstRow="1" w:lastRow="0" w:firstColumn="1" w:lastColumn="0" w:noHBand="0" w:noVBand="1"/>
      </w:tblPr>
      <w:tblGrid>
        <w:gridCol w:w="2566"/>
        <w:gridCol w:w="6676"/>
      </w:tblGrid>
      <w:tr w:rsidR="00A851DA" w:rsidRPr="00B0415E" w14:paraId="56A2D04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2BE7DC4C" w14:textId="77777777" w:rsidR="00A851DA" w:rsidRPr="00B0415E" w:rsidRDefault="00A851DA">
            <w:pPr>
              <w:rPr>
                <w:b/>
                <w:color w:val="002060"/>
              </w:rPr>
            </w:pPr>
            <w:r w:rsidRPr="00B0415E">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14:paraId="78FB2AB8" w14:textId="77777777" w:rsidR="00A851DA" w:rsidRPr="00B0415E" w:rsidRDefault="004067A8">
            <w:pPr>
              <w:pStyle w:val="Default"/>
              <w:rPr>
                <w:rFonts w:asciiTheme="minorHAnsi" w:hAnsiTheme="minorHAnsi"/>
              </w:rPr>
            </w:pPr>
            <w:r>
              <w:rPr>
                <w:rFonts w:asciiTheme="minorHAnsi" w:hAnsiTheme="minorHAnsi"/>
              </w:rPr>
              <w:t>JOHN ASHMAN</w:t>
            </w:r>
          </w:p>
        </w:tc>
      </w:tr>
      <w:tr w:rsidR="00A851DA" w:rsidRPr="00B0415E" w14:paraId="01E321C1"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3F1C0762" w14:textId="77777777" w:rsidR="00A851DA" w:rsidRPr="00B0415E" w:rsidRDefault="00A851DA">
            <w:pPr>
              <w:rPr>
                <w:b/>
                <w:color w:val="002060"/>
              </w:rPr>
            </w:pPr>
            <w:r w:rsidRPr="00B0415E">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14:paraId="3154162A" w14:textId="77777777" w:rsidR="00A851DA" w:rsidRPr="00B0415E" w:rsidRDefault="004067A8">
            <w:pPr>
              <w:pStyle w:val="Default"/>
              <w:rPr>
                <w:rFonts w:asciiTheme="minorHAnsi" w:hAnsiTheme="minorHAnsi"/>
              </w:rPr>
            </w:pPr>
            <w:r>
              <w:rPr>
                <w:rFonts w:asciiTheme="minorHAnsi" w:hAnsiTheme="minorHAnsi"/>
              </w:rPr>
              <w:t>1266</w:t>
            </w:r>
          </w:p>
        </w:tc>
      </w:tr>
      <w:tr w:rsidR="00A851DA" w:rsidRPr="00B0415E" w14:paraId="3145E670"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01928A16" w14:textId="77777777" w:rsidR="00A851DA" w:rsidRPr="00B0415E" w:rsidRDefault="00A851DA">
            <w:pPr>
              <w:rPr>
                <w:b/>
                <w:color w:val="002060"/>
              </w:rPr>
            </w:pPr>
            <w:r w:rsidRPr="00B0415E">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14:paraId="6DC81E78" w14:textId="10083C3B" w:rsidR="00A851DA" w:rsidRPr="00B0415E" w:rsidRDefault="007142F4">
            <w:pPr>
              <w:pStyle w:val="Default"/>
              <w:rPr>
                <w:rFonts w:asciiTheme="minorHAnsi" w:hAnsiTheme="minorHAnsi"/>
              </w:rPr>
            </w:pPr>
            <w:r>
              <w:rPr>
                <w:rFonts w:asciiTheme="minorHAnsi" w:hAnsiTheme="minorHAnsi"/>
              </w:rPr>
              <w:t>IMPORTANCE OF ESTIMATING IN CONSTRUCTION WORK</w:t>
            </w:r>
          </w:p>
        </w:tc>
      </w:tr>
      <w:tr w:rsidR="00A851DA" w:rsidRPr="00B0415E" w14:paraId="779A2F04" w14:textId="77777777"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14:paraId="61A61F4B" w14:textId="77777777" w:rsidR="00A851DA" w:rsidRPr="00B0415E" w:rsidRDefault="00A851DA">
            <w:pPr>
              <w:rPr>
                <w:b/>
                <w:color w:val="002060"/>
              </w:rPr>
            </w:pPr>
            <w:r w:rsidRPr="00B0415E">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14:paraId="3D0B5A76" w14:textId="4BBAFE3D" w:rsidR="00A851DA" w:rsidRPr="00B0415E" w:rsidRDefault="007142F4">
            <w:r>
              <w:t>3</w:t>
            </w:r>
          </w:p>
        </w:tc>
      </w:tr>
    </w:tbl>
    <w:p w14:paraId="710A9799" w14:textId="77777777" w:rsidR="00CC2FB3" w:rsidRDefault="00CC2FB3" w:rsidP="00A851DA">
      <w:pPr>
        <w:rPr>
          <w:b/>
          <w:lang w:val="en-US"/>
        </w:rPr>
      </w:pPr>
    </w:p>
    <w:p w14:paraId="3E7E17F1" w14:textId="77777777" w:rsidR="007142F4" w:rsidRPr="007142F4" w:rsidRDefault="007142F4" w:rsidP="007142F4">
      <w:pPr>
        <w:spacing w:before="100" w:beforeAutospacing="1" w:after="100" w:afterAutospacing="1" w:line="360" w:lineRule="auto"/>
        <w:jc w:val="both"/>
        <w:rPr>
          <w:sz w:val="24"/>
          <w:szCs w:val="24"/>
        </w:rPr>
      </w:pPr>
      <w:r w:rsidRPr="007142F4">
        <w:rPr>
          <w:b/>
          <w:sz w:val="24"/>
          <w:szCs w:val="24"/>
        </w:rPr>
        <w:t>Question 1</w:t>
      </w:r>
      <w:r w:rsidRPr="007142F4">
        <w:rPr>
          <w:sz w:val="24"/>
          <w:szCs w:val="24"/>
        </w:rPr>
        <w:t xml:space="preserve"> </w:t>
      </w:r>
    </w:p>
    <w:p w14:paraId="0669577D" w14:textId="77777777" w:rsidR="007142F4" w:rsidRPr="007142F4" w:rsidRDefault="007142F4" w:rsidP="007142F4">
      <w:pPr>
        <w:spacing w:before="100" w:beforeAutospacing="1" w:after="100" w:afterAutospacing="1" w:line="360" w:lineRule="auto"/>
        <w:jc w:val="both"/>
        <w:rPr>
          <w:b/>
          <w:sz w:val="24"/>
          <w:szCs w:val="24"/>
        </w:rPr>
      </w:pPr>
      <w:proofErr w:type="spellStart"/>
      <w:proofErr w:type="gramStart"/>
      <w:r w:rsidRPr="007142F4">
        <w:rPr>
          <w:b/>
          <w:sz w:val="24"/>
          <w:szCs w:val="24"/>
        </w:rPr>
        <w:t>i</w:t>
      </w:r>
      <w:proofErr w:type="spellEnd"/>
      <w:r w:rsidRPr="007142F4">
        <w:rPr>
          <w:b/>
          <w:sz w:val="24"/>
          <w:szCs w:val="24"/>
        </w:rPr>
        <w:t>. What is meant by estimating and why are estimates necessary</w:t>
      </w:r>
      <w:proofErr w:type="gramEnd"/>
      <w:r w:rsidRPr="007142F4">
        <w:rPr>
          <w:b/>
          <w:sz w:val="24"/>
          <w:szCs w:val="24"/>
        </w:rPr>
        <w:t>?</w:t>
      </w:r>
    </w:p>
    <w:p w14:paraId="124E1AAC"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 xml:space="preserve">An estimate is an approximate price for an item of work based on historical data, on experience and on published cost data (Pratt 2011, p.4). Construction is a risky business and as such, estimates are essential to enable clients, contractors, sub-contractors and designers to develop an initial budget for a contract and as the details are confirmed, this estimated budget ultimately becomes the contract sum. This means that the estimate guides all parties with respect to the cost of the works from the concept stage to completion and handover. The estimate is used in different ways by the project parties, for example the client may use the estimate to obtain finance for a project and/or to make the decision regarding commencing the project. The contractor may use it to calculate potential profit for a project and to forecast </w:t>
      </w:r>
      <w:proofErr w:type="spellStart"/>
      <w:r w:rsidRPr="007142F4">
        <w:rPr>
          <w:sz w:val="24"/>
          <w:szCs w:val="24"/>
        </w:rPr>
        <w:t>cashflow</w:t>
      </w:r>
      <w:proofErr w:type="spellEnd"/>
      <w:r w:rsidRPr="007142F4">
        <w:rPr>
          <w:sz w:val="24"/>
          <w:szCs w:val="24"/>
        </w:rPr>
        <w:t xml:space="preserve"> for the contract. The designers will use it to limit the design to keep it within the estimate</w:t>
      </w:r>
      <w:r w:rsidRPr="007142F4">
        <w:rPr>
          <w:b/>
          <w:sz w:val="24"/>
          <w:szCs w:val="24"/>
        </w:rPr>
        <w:t xml:space="preserve"> </w:t>
      </w:r>
      <w:r w:rsidRPr="007142F4">
        <w:rPr>
          <w:sz w:val="24"/>
          <w:szCs w:val="24"/>
        </w:rPr>
        <w:t xml:space="preserve">(Brook 2008, pp.66-68, Pratt 2011, p.4).  </w:t>
      </w:r>
    </w:p>
    <w:p w14:paraId="5961FE2B" w14:textId="77777777" w:rsidR="007142F4" w:rsidRPr="007142F4" w:rsidRDefault="007142F4" w:rsidP="007142F4">
      <w:pPr>
        <w:spacing w:before="100" w:beforeAutospacing="1" w:after="100" w:afterAutospacing="1" w:line="360" w:lineRule="auto"/>
        <w:jc w:val="both"/>
        <w:rPr>
          <w:b/>
          <w:sz w:val="24"/>
          <w:szCs w:val="24"/>
        </w:rPr>
      </w:pPr>
      <w:r w:rsidRPr="007142F4">
        <w:rPr>
          <w:b/>
          <w:sz w:val="24"/>
          <w:szCs w:val="24"/>
        </w:rPr>
        <w:t>ii. What is a bill of quantities?</w:t>
      </w:r>
    </w:p>
    <w:p w14:paraId="1F608E9D"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A bill of quantities is a priced list of all items that are required to complete a construction project. The list of items is prepared from the contract drawings and the specification, followed set rules and guidelines (</w:t>
      </w:r>
      <w:proofErr w:type="spellStart"/>
      <w:r w:rsidRPr="007142F4">
        <w:rPr>
          <w:sz w:val="24"/>
          <w:szCs w:val="24"/>
        </w:rPr>
        <w:t>Greenhalgh</w:t>
      </w:r>
      <w:proofErr w:type="spellEnd"/>
      <w:r w:rsidRPr="007142F4">
        <w:rPr>
          <w:sz w:val="24"/>
          <w:szCs w:val="24"/>
        </w:rPr>
        <w:t xml:space="preserve"> 2013, p.2). In a tender, the contractor prices the bill of quantities and the client uses this document to decide which contractor to appoint for the contract. During the construction project the priced bill of quantities is used to calculate and agree the cost of additional work and variations (</w:t>
      </w:r>
      <w:proofErr w:type="spellStart"/>
      <w:r w:rsidRPr="007142F4">
        <w:rPr>
          <w:sz w:val="24"/>
          <w:szCs w:val="24"/>
        </w:rPr>
        <w:t>Greenhalgh</w:t>
      </w:r>
      <w:proofErr w:type="spellEnd"/>
      <w:r w:rsidRPr="007142F4">
        <w:rPr>
          <w:sz w:val="24"/>
          <w:szCs w:val="24"/>
        </w:rPr>
        <w:t xml:space="preserve"> 2013, pp. 2-4).</w:t>
      </w:r>
    </w:p>
    <w:p w14:paraId="564BF274" w14:textId="77777777" w:rsidR="007142F4" w:rsidRPr="007142F4" w:rsidRDefault="007142F4" w:rsidP="007142F4">
      <w:pPr>
        <w:spacing w:before="100" w:beforeAutospacing="1" w:after="100" w:afterAutospacing="1" w:line="360" w:lineRule="auto"/>
        <w:jc w:val="both"/>
        <w:rPr>
          <w:b/>
          <w:sz w:val="24"/>
          <w:szCs w:val="24"/>
        </w:rPr>
      </w:pPr>
      <w:r w:rsidRPr="007142F4">
        <w:rPr>
          <w:b/>
          <w:sz w:val="24"/>
          <w:szCs w:val="24"/>
        </w:rPr>
        <w:lastRenderedPageBreak/>
        <w:t>iii. Explain the term approximate estimates and how they are prepared?</w:t>
      </w:r>
    </w:p>
    <w:p w14:paraId="3AA128AD"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 xml:space="preserve">An approximate estimate is an estimate based on the information available at the feasibility stage of the project. The purpose of this estimate is to keep the design team and the client informed with respect to the potential end cost of the works (The Chartered Institute of Building (CIB) 2012, p.115). This estimate can be based on similar projects or historical data. Approximate estimating can be based on the functional unit method, the floor area method or the elemental cost plan method (CIB 2012, p.115). . The functional floor method is the unit </w:t>
      </w:r>
      <w:proofErr w:type="gramStart"/>
      <w:r w:rsidRPr="007142F4">
        <w:rPr>
          <w:sz w:val="24"/>
          <w:szCs w:val="24"/>
        </w:rPr>
        <w:t>cost which</w:t>
      </w:r>
      <w:proofErr w:type="gramEnd"/>
      <w:r w:rsidRPr="007142F4">
        <w:rPr>
          <w:sz w:val="24"/>
          <w:szCs w:val="24"/>
        </w:rPr>
        <w:t xml:space="preserve"> is calculated by dividing the building cost by the number of functional units. For example the cost of a hospital would be determined by the cots/functional unit which is a hospital bed, so if one hospital bed costs £5000 and the design was for an 300 bed hospital then the approximate estimate would be £5000x 300= £1.5million. The floor area method calculates the internal floor area of the hospital and multiples this by a rate per square/metre based on similar developments. The elemental method breaks the conceptual design into different elements and uses historic data of similar developments to provide an approximate estimate for the works (CIB 2012, pp. 115-117).</w:t>
      </w:r>
    </w:p>
    <w:p w14:paraId="53A25B33" w14:textId="77777777" w:rsidR="007142F4" w:rsidRPr="007142F4" w:rsidRDefault="007142F4" w:rsidP="007142F4">
      <w:pPr>
        <w:spacing w:before="100" w:beforeAutospacing="1" w:after="100" w:afterAutospacing="1" w:line="360" w:lineRule="auto"/>
        <w:jc w:val="both"/>
        <w:rPr>
          <w:b/>
          <w:sz w:val="24"/>
          <w:szCs w:val="24"/>
        </w:rPr>
      </w:pPr>
      <w:r w:rsidRPr="007142F4">
        <w:rPr>
          <w:b/>
          <w:sz w:val="24"/>
          <w:szCs w:val="24"/>
        </w:rPr>
        <w:t>iv. What is meant by project budget? How it is prepared?</w:t>
      </w:r>
    </w:p>
    <w:p w14:paraId="16919204" w14:textId="77777777" w:rsidR="007142F4" w:rsidRDefault="007142F4" w:rsidP="007142F4">
      <w:pPr>
        <w:spacing w:before="100" w:beforeAutospacing="1" w:after="100" w:afterAutospacing="1" w:line="360" w:lineRule="auto"/>
        <w:jc w:val="both"/>
        <w:rPr>
          <w:sz w:val="24"/>
          <w:szCs w:val="24"/>
        </w:rPr>
      </w:pPr>
      <w:r w:rsidRPr="007142F4">
        <w:rPr>
          <w:sz w:val="24"/>
          <w:szCs w:val="24"/>
        </w:rPr>
        <w:t>The project budget is the sum that the client is willing to pay for the completion of the works (Brook 2012, p.68). A project can start with the client having a fixed amount to spend and in this case this figure is the project budget. If the client does not have a fixed amount of money but has a reasonable idea of how the project cost limit, then the project budget is built up during the design. The project budget is developed in stages, starting with the concept stage when there is very little information or details. This concept budget is prepared based on unit cost or similar methods using historical data and previous experience of similar projects. This budget is revised as the design progresses until the detailed design provides sufficient information for the client to have relative surety of price. This is then the project budget (Brook 2012, p.68).</w:t>
      </w:r>
    </w:p>
    <w:p w14:paraId="32CDEDFA" w14:textId="77777777" w:rsidR="007142F4" w:rsidRPr="007142F4" w:rsidRDefault="007142F4" w:rsidP="007142F4">
      <w:pPr>
        <w:spacing w:before="100" w:beforeAutospacing="1" w:after="100" w:afterAutospacing="1" w:line="360" w:lineRule="auto"/>
        <w:jc w:val="both"/>
        <w:rPr>
          <w:sz w:val="24"/>
          <w:szCs w:val="24"/>
        </w:rPr>
      </w:pPr>
      <w:bookmarkStart w:id="0" w:name="_GoBack"/>
      <w:bookmarkEnd w:id="0"/>
    </w:p>
    <w:p w14:paraId="699B58CD" w14:textId="77777777" w:rsidR="007142F4" w:rsidRPr="007142F4" w:rsidRDefault="007142F4" w:rsidP="007142F4">
      <w:pPr>
        <w:spacing w:before="100" w:beforeAutospacing="1" w:after="100" w:afterAutospacing="1" w:line="360" w:lineRule="auto"/>
        <w:jc w:val="both"/>
        <w:rPr>
          <w:sz w:val="24"/>
          <w:szCs w:val="24"/>
        </w:rPr>
      </w:pPr>
      <w:r w:rsidRPr="007142F4">
        <w:rPr>
          <w:b/>
          <w:sz w:val="24"/>
          <w:szCs w:val="24"/>
        </w:rPr>
        <w:lastRenderedPageBreak/>
        <w:t>v. Explain the term administrative approval and technical sanction</w:t>
      </w:r>
      <w:r w:rsidRPr="007142F4">
        <w:rPr>
          <w:sz w:val="24"/>
          <w:szCs w:val="24"/>
        </w:rPr>
        <w:br/>
        <w:t xml:space="preserve">Administrative approval is the first stage of the project approvals process and </w:t>
      </w:r>
      <w:proofErr w:type="gramStart"/>
      <w:r w:rsidRPr="007142F4">
        <w:rPr>
          <w:sz w:val="24"/>
          <w:szCs w:val="24"/>
        </w:rPr>
        <w:t>it is given by the competent authority of the user department</w:t>
      </w:r>
      <w:proofErr w:type="gramEnd"/>
      <w:r w:rsidRPr="007142F4">
        <w:rPr>
          <w:sz w:val="24"/>
          <w:szCs w:val="24"/>
        </w:rPr>
        <w:t xml:space="preserve"> (Course Notes 2014, p.7). In other words if a government department (the client) wants to build an office building, the Public Works Department prepares feasibility studies and a set of preliminary drawings, specification and a cost estimate. These details are then sent to the client for administrative approval and constitute a commitment from the client to make the funds for the new project available to the Public Works Department (Course Notes 2014, p.7).</w:t>
      </w:r>
    </w:p>
    <w:p w14:paraId="07AA96E7"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 xml:space="preserve">When the client issues the administrative approval, the Public Works Department prepares a detailed design including drawings, specifications and cost estimates and also prepares a detailed report on the project. </w:t>
      </w:r>
      <w:proofErr w:type="gramStart"/>
      <w:r w:rsidRPr="007142F4">
        <w:rPr>
          <w:sz w:val="24"/>
          <w:szCs w:val="24"/>
        </w:rPr>
        <w:t>This report is then checked by an approved authority within the Public Works Department for technical sanction and approval</w:t>
      </w:r>
      <w:proofErr w:type="gramEnd"/>
      <w:r w:rsidRPr="007142F4">
        <w:rPr>
          <w:sz w:val="24"/>
          <w:szCs w:val="24"/>
        </w:rPr>
        <w:t xml:space="preserve"> (Course Notes 2014, p.7).</w:t>
      </w:r>
    </w:p>
    <w:p w14:paraId="366BDB02" w14:textId="77777777" w:rsidR="007142F4" w:rsidRPr="007142F4" w:rsidRDefault="007142F4" w:rsidP="007142F4">
      <w:pPr>
        <w:spacing w:before="100" w:beforeAutospacing="1" w:after="100" w:afterAutospacing="1" w:line="360" w:lineRule="auto"/>
        <w:jc w:val="both"/>
        <w:rPr>
          <w:b/>
          <w:sz w:val="24"/>
          <w:szCs w:val="24"/>
        </w:rPr>
      </w:pPr>
      <w:r w:rsidRPr="007142F4">
        <w:rPr>
          <w:b/>
          <w:sz w:val="24"/>
          <w:szCs w:val="24"/>
        </w:rPr>
        <w:t>2. How are the estimates made for the following? </w:t>
      </w:r>
    </w:p>
    <w:p w14:paraId="62BDB351" w14:textId="77777777" w:rsidR="007142F4" w:rsidRPr="007142F4" w:rsidRDefault="007142F4" w:rsidP="007142F4">
      <w:pPr>
        <w:spacing w:before="100" w:beforeAutospacing="1" w:after="100" w:afterAutospacing="1" w:line="360" w:lineRule="auto"/>
        <w:jc w:val="both"/>
        <w:rPr>
          <w:b/>
          <w:sz w:val="24"/>
          <w:szCs w:val="24"/>
        </w:rPr>
      </w:pPr>
      <w:r w:rsidRPr="007142F4">
        <w:rPr>
          <w:b/>
          <w:sz w:val="24"/>
          <w:szCs w:val="24"/>
        </w:rPr>
        <w:t>a) A material rate </w:t>
      </w:r>
    </w:p>
    <w:p w14:paraId="2295113B"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The material rate is the cost of all materials used in the project (</w:t>
      </w:r>
      <w:proofErr w:type="spellStart"/>
      <w:r w:rsidRPr="007142F4">
        <w:rPr>
          <w:sz w:val="24"/>
          <w:szCs w:val="24"/>
        </w:rPr>
        <w:t>Towey</w:t>
      </w:r>
      <w:proofErr w:type="spellEnd"/>
      <w:r w:rsidRPr="007142F4">
        <w:rPr>
          <w:sz w:val="24"/>
          <w:szCs w:val="24"/>
        </w:rPr>
        <w:t xml:space="preserve"> 2012, p.115). For example the material rate for ready mix concrete will be the cost offered by the supplier, where the supplier has built in transport and labour costs, as well as material costs. For other materials such as sand and bricks, the material cost is the cost of that item delivered to site. Therefore the cost is negotiated by the quantity surveyor from the supplier and may be a flat rate or a rate per tonne. The material rate should include the cost of loading and unloading, storage and must also include an allowance for wasted materials (</w:t>
      </w:r>
      <w:proofErr w:type="spellStart"/>
      <w:r w:rsidRPr="007142F4">
        <w:rPr>
          <w:sz w:val="24"/>
          <w:szCs w:val="24"/>
        </w:rPr>
        <w:t>Towey</w:t>
      </w:r>
      <w:proofErr w:type="spellEnd"/>
      <w:r w:rsidRPr="007142F4">
        <w:rPr>
          <w:sz w:val="24"/>
          <w:szCs w:val="24"/>
        </w:rPr>
        <w:t xml:space="preserve"> 2012, p.115, Brook 2012, p125).</w:t>
      </w:r>
    </w:p>
    <w:p w14:paraId="4BC2C000" w14:textId="77777777" w:rsidR="007142F4" w:rsidRPr="007142F4" w:rsidRDefault="007142F4" w:rsidP="007142F4">
      <w:pPr>
        <w:spacing w:before="100" w:beforeAutospacing="1" w:after="100" w:afterAutospacing="1" w:line="360" w:lineRule="auto"/>
        <w:jc w:val="both"/>
        <w:rPr>
          <w:b/>
          <w:sz w:val="24"/>
          <w:szCs w:val="24"/>
        </w:rPr>
      </w:pPr>
      <w:r w:rsidRPr="007142F4">
        <w:rPr>
          <w:b/>
          <w:sz w:val="24"/>
          <w:szCs w:val="24"/>
        </w:rPr>
        <w:t>b) Labour rate</w:t>
      </w:r>
    </w:p>
    <w:p w14:paraId="094CA95A"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 xml:space="preserve">The labour rate includes the cost of </w:t>
      </w:r>
      <w:proofErr w:type="gramStart"/>
      <w:r w:rsidRPr="007142F4">
        <w:rPr>
          <w:sz w:val="24"/>
          <w:szCs w:val="24"/>
        </w:rPr>
        <w:t>all labour</w:t>
      </w:r>
      <w:proofErr w:type="gramEnd"/>
      <w:r w:rsidRPr="007142F4">
        <w:rPr>
          <w:sz w:val="24"/>
          <w:szCs w:val="24"/>
        </w:rPr>
        <w:t xml:space="preserve"> required to complete a task (Brook 2012, p.78). The rate is calculated based on the number of people required to carry out the task, the different skills required as different skills for example carpenter, block layer have different rates of pay per hour (Brook 2012, p.78). The labour rate is made up using the basis rate of pay, an allowance for wet weather, an allowance for holiday pay, travel </w:t>
      </w:r>
      <w:r w:rsidRPr="007142F4">
        <w:rPr>
          <w:sz w:val="24"/>
          <w:szCs w:val="24"/>
        </w:rPr>
        <w:lastRenderedPageBreak/>
        <w:t>expenses, overtime, sick pay, insurance and possibly transport costs. In other words the labour rate includes all the costs that the contractor will incur by employing that labour (</w:t>
      </w:r>
      <w:proofErr w:type="spellStart"/>
      <w:r w:rsidRPr="007142F4">
        <w:rPr>
          <w:sz w:val="24"/>
          <w:szCs w:val="24"/>
        </w:rPr>
        <w:t>Towey</w:t>
      </w:r>
      <w:proofErr w:type="spellEnd"/>
      <w:r w:rsidRPr="007142F4">
        <w:rPr>
          <w:sz w:val="24"/>
          <w:szCs w:val="24"/>
        </w:rPr>
        <w:t xml:space="preserve"> 2012, p.116).</w:t>
      </w:r>
    </w:p>
    <w:p w14:paraId="5D09A401" w14:textId="77777777" w:rsidR="007142F4" w:rsidRPr="007142F4" w:rsidRDefault="007142F4" w:rsidP="007142F4">
      <w:pPr>
        <w:spacing w:before="100" w:beforeAutospacing="1" w:after="100" w:afterAutospacing="1" w:line="360" w:lineRule="auto"/>
        <w:jc w:val="both"/>
        <w:rPr>
          <w:b/>
          <w:sz w:val="24"/>
          <w:szCs w:val="24"/>
        </w:rPr>
      </w:pPr>
      <w:r w:rsidRPr="007142F4">
        <w:rPr>
          <w:b/>
          <w:sz w:val="24"/>
          <w:szCs w:val="24"/>
        </w:rPr>
        <w:t>c) Equipment rate</w:t>
      </w:r>
    </w:p>
    <w:p w14:paraId="55E5B10C"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The equipment rates must be applied to all plant and equipment used in developing the construction project, taking account of capital investment costs or hire costs (</w:t>
      </w:r>
      <w:proofErr w:type="spellStart"/>
      <w:r w:rsidRPr="007142F4">
        <w:rPr>
          <w:sz w:val="24"/>
          <w:szCs w:val="24"/>
        </w:rPr>
        <w:t>Towey</w:t>
      </w:r>
      <w:proofErr w:type="spellEnd"/>
      <w:r w:rsidRPr="007142F4">
        <w:rPr>
          <w:sz w:val="24"/>
          <w:szCs w:val="24"/>
        </w:rPr>
        <w:t xml:space="preserve"> 2012, p.78). The equipment rate must include an allowance for the hire of the equipment or the capital investment costs, the operation and maintenance of the equipment, depreciation for equipment that is owned and not hired; operation costs include fuel and insurance, repairs and the cost of operators (</w:t>
      </w:r>
      <w:proofErr w:type="spellStart"/>
      <w:r w:rsidRPr="007142F4">
        <w:rPr>
          <w:sz w:val="24"/>
          <w:szCs w:val="24"/>
        </w:rPr>
        <w:t>Towey</w:t>
      </w:r>
      <w:proofErr w:type="spellEnd"/>
      <w:r w:rsidRPr="007142F4">
        <w:rPr>
          <w:sz w:val="24"/>
          <w:szCs w:val="24"/>
        </w:rPr>
        <w:t xml:space="preserve"> 2012, p.78, Course Notes 2014, p.7). </w:t>
      </w:r>
    </w:p>
    <w:p w14:paraId="67C60EC5" w14:textId="77777777" w:rsidR="007142F4" w:rsidRPr="007142F4" w:rsidRDefault="007142F4" w:rsidP="007142F4">
      <w:pPr>
        <w:spacing w:before="100" w:beforeAutospacing="1" w:after="100" w:afterAutospacing="1" w:line="360" w:lineRule="auto"/>
        <w:jc w:val="both"/>
        <w:rPr>
          <w:b/>
          <w:sz w:val="24"/>
          <w:szCs w:val="24"/>
        </w:rPr>
      </w:pPr>
      <w:r w:rsidRPr="007142F4">
        <w:rPr>
          <w:b/>
          <w:sz w:val="24"/>
          <w:szCs w:val="24"/>
        </w:rPr>
        <w:t>3. Discuss estimating procedure in details.</w:t>
      </w:r>
    </w:p>
    <w:p w14:paraId="34318D9C"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 xml:space="preserve">The estimating procedure starts with a set of design drawings and a specification of work. These documents are essential as they provide all the details required to measure and quantify the materials, labour and equipment required to complete the project. If there are details that are unclear or missing then the estimator can raise a query sheet requesting the information from the designer. The estimator typically divides the project into major elements of work, for example if using the New Rules of Measurement, then the broad categories within the Bill of Quantities will include the facilitating works, substructure, superstructure, internal finishes, fitting, furnishings and equipment, services and external works (Lee et al. 2014, pp.74-75). </w:t>
      </w:r>
    </w:p>
    <w:p w14:paraId="6C125EAE" w14:textId="77777777" w:rsidR="007142F4" w:rsidRPr="007142F4" w:rsidRDefault="007142F4" w:rsidP="007142F4">
      <w:pPr>
        <w:spacing w:before="100" w:beforeAutospacing="1" w:after="100" w:afterAutospacing="1" w:line="360" w:lineRule="auto"/>
        <w:jc w:val="both"/>
        <w:rPr>
          <w:sz w:val="24"/>
          <w:szCs w:val="24"/>
        </w:rPr>
      </w:pPr>
      <w:r w:rsidRPr="007142F4">
        <w:rPr>
          <w:sz w:val="24"/>
          <w:szCs w:val="24"/>
        </w:rPr>
        <w:t xml:space="preserve">The estimator will extract all dimensions and quantities from the drawings and the description of the materials from the specification of work.  The unit required is set out in the standard measuring procedures, for example the earthworks will be calculated as cubic metres of materials excavated, placed on site or disposed off-site. The estimator will have to allow bulking rates for the difference in excavated volume to the transported off-site volume as the material will naturally bulk or compress on removal from the ground. Other materials such as block-work can be calculated using rate per number of blocks, for example the cost per 1000 blocks. Some items such as pipes may be calculates per metre run with </w:t>
      </w:r>
      <w:r w:rsidRPr="007142F4">
        <w:rPr>
          <w:sz w:val="24"/>
          <w:szCs w:val="24"/>
        </w:rPr>
        <w:lastRenderedPageBreak/>
        <w:t xml:space="preserve">the description including the type of pipe material and the diameter. The point is to ensure that each item is covered in the overall cost and that the description is clear so that the correct price is assigned to each item. In other words the estimator must have a good knowledge of construction practices to develop an accurate cost for the project (Lee et al. 2014, p.5). The estimator must also build the rate for each activity based on the materials, the labour and the equipment </w:t>
      </w:r>
      <w:proofErr w:type="gramStart"/>
      <w:r w:rsidRPr="007142F4">
        <w:rPr>
          <w:sz w:val="24"/>
          <w:szCs w:val="24"/>
        </w:rPr>
        <w:t>rates which</w:t>
      </w:r>
      <w:proofErr w:type="gramEnd"/>
      <w:r w:rsidRPr="007142F4">
        <w:rPr>
          <w:sz w:val="24"/>
          <w:szCs w:val="24"/>
        </w:rPr>
        <w:t xml:space="preserve"> are calculated as described earlier. The accuracy of the cost depends on the accuracy of the design and also the stage of design. The estimator typically builds in a contingency percentage into the cost to cover the risks associated with those calculations. This contingency should reduce as detailed and accurate information becomes available through the design. When the design is complete, the estimator calculates the contract price. This is used to evaluate the tenders for the project that are submitted by contractors bidding for the work. In addition the contract sum is used to measure the progress of the works during construction and in determining </w:t>
      </w:r>
      <w:proofErr w:type="spellStart"/>
      <w:r w:rsidRPr="007142F4">
        <w:rPr>
          <w:sz w:val="24"/>
          <w:szCs w:val="24"/>
        </w:rPr>
        <w:t>cashflow</w:t>
      </w:r>
      <w:proofErr w:type="spellEnd"/>
      <w:r w:rsidRPr="007142F4">
        <w:rPr>
          <w:sz w:val="24"/>
          <w:szCs w:val="24"/>
        </w:rPr>
        <w:t xml:space="preserve"> throughout the project (The Chartered Institute of Building 2012, p.37; Brook 2012, p.58).</w:t>
      </w:r>
    </w:p>
    <w:p w14:paraId="17C71E38" w14:textId="77777777" w:rsidR="007142F4" w:rsidRPr="007142F4" w:rsidRDefault="007142F4" w:rsidP="007142F4">
      <w:pPr>
        <w:spacing w:before="100" w:beforeAutospacing="1" w:after="100" w:afterAutospacing="1" w:line="360" w:lineRule="auto"/>
        <w:rPr>
          <w:b/>
          <w:sz w:val="24"/>
          <w:szCs w:val="24"/>
        </w:rPr>
      </w:pPr>
      <w:r w:rsidRPr="007142F4">
        <w:rPr>
          <w:b/>
          <w:sz w:val="24"/>
          <w:szCs w:val="24"/>
        </w:rPr>
        <w:br w:type="page"/>
      </w:r>
      <w:r w:rsidRPr="007142F4">
        <w:rPr>
          <w:b/>
          <w:sz w:val="24"/>
          <w:szCs w:val="24"/>
        </w:rPr>
        <w:lastRenderedPageBreak/>
        <w:t>References</w:t>
      </w:r>
    </w:p>
    <w:p w14:paraId="4CDEF820" w14:textId="77777777" w:rsidR="007142F4" w:rsidRPr="007142F4" w:rsidRDefault="007142F4" w:rsidP="007142F4">
      <w:pPr>
        <w:spacing w:before="100" w:beforeAutospacing="1" w:after="100" w:afterAutospacing="1" w:line="360" w:lineRule="auto"/>
        <w:rPr>
          <w:sz w:val="24"/>
          <w:szCs w:val="24"/>
        </w:rPr>
      </w:pPr>
      <w:r w:rsidRPr="007142F4">
        <w:rPr>
          <w:sz w:val="24"/>
          <w:szCs w:val="24"/>
        </w:rPr>
        <w:t xml:space="preserve">Brook, M. (2008) </w:t>
      </w:r>
      <w:r w:rsidRPr="007142F4">
        <w:rPr>
          <w:i/>
          <w:sz w:val="24"/>
          <w:szCs w:val="24"/>
        </w:rPr>
        <w:t>Estimating and Tendering for Construction</w:t>
      </w:r>
      <w:r w:rsidRPr="007142F4">
        <w:rPr>
          <w:sz w:val="24"/>
          <w:szCs w:val="24"/>
        </w:rPr>
        <w:t>, 4</w:t>
      </w:r>
      <w:r w:rsidRPr="007142F4">
        <w:rPr>
          <w:sz w:val="24"/>
          <w:szCs w:val="24"/>
          <w:vertAlign w:val="superscript"/>
        </w:rPr>
        <w:t>th</w:t>
      </w:r>
      <w:r w:rsidRPr="007142F4">
        <w:rPr>
          <w:sz w:val="24"/>
          <w:szCs w:val="24"/>
        </w:rPr>
        <w:t xml:space="preserve"> Edition. Abingdon, Oxon: </w:t>
      </w:r>
      <w:proofErr w:type="spellStart"/>
      <w:r w:rsidRPr="007142F4">
        <w:rPr>
          <w:sz w:val="24"/>
          <w:szCs w:val="24"/>
        </w:rPr>
        <w:t>Routledge</w:t>
      </w:r>
      <w:proofErr w:type="spellEnd"/>
      <w:r w:rsidRPr="007142F4">
        <w:rPr>
          <w:sz w:val="24"/>
          <w:szCs w:val="24"/>
        </w:rPr>
        <w:t>.</w:t>
      </w:r>
    </w:p>
    <w:p w14:paraId="20E1BCCB" w14:textId="77777777" w:rsidR="007142F4" w:rsidRPr="007142F4" w:rsidRDefault="007142F4" w:rsidP="007142F4">
      <w:pPr>
        <w:spacing w:before="100" w:beforeAutospacing="1" w:after="100" w:afterAutospacing="1" w:line="360" w:lineRule="auto"/>
        <w:rPr>
          <w:sz w:val="24"/>
          <w:szCs w:val="24"/>
        </w:rPr>
      </w:pPr>
      <w:proofErr w:type="gramStart"/>
      <w:r w:rsidRPr="007142F4">
        <w:rPr>
          <w:sz w:val="24"/>
          <w:szCs w:val="24"/>
        </w:rPr>
        <w:t xml:space="preserve">Course Notes (2014) </w:t>
      </w:r>
      <w:r w:rsidRPr="007142F4">
        <w:rPr>
          <w:i/>
          <w:sz w:val="24"/>
          <w:szCs w:val="24"/>
        </w:rPr>
        <w:t>Importance of Estimation in Construction Work Unit 3</w:t>
      </w:r>
      <w:r w:rsidRPr="007142F4">
        <w:rPr>
          <w:sz w:val="24"/>
          <w:szCs w:val="24"/>
        </w:rPr>
        <w:t>.</w:t>
      </w:r>
      <w:proofErr w:type="gramEnd"/>
      <w:r w:rsidRPr="007142F4">
        <w:rPr>
          <w:sz w:val="24"/>
          <w:szCs w:val="24"/>
        </w:rPr>
        <w:t xml:space="preserve"> Diploma in Construction Management</w:t>
      </w:r>
    </w:p>
    <w:p w14:paraId="0F147112" w14:textId="77777777" w:rsidR="007142F4" w:rsidRPr="007142F4" w:rsidRDefault="007142F4" w:rsidP="007142F4">
      <w:pPr>
        <w:spacing w:before="100" w:beforeAutospacing="1" w:after="100" w:afterAutospacing="1" w:line="360" w:lineRule="auto"/>
        <w:rPr>
          <w:sz w:val="24"/>
          <w:szCs w:val="24"/>
        </w:rPr>
      </w:pPr>
      <w:proofErr w:type="spellStart"/>
      <w:proofErr w:type="gramStart"/>
      <w:r w:rsidRPr="007142F4">
        <w:rPr>
          <w:sz w:val="24"/>
          <w:szCs w:val="24"/>
        </w:rPr>
        <w:t>Greenhalgh</w:t>
      </w:r>
      <w:proofErr w:type="spellEnd"/>
      <w:r w:rsidRPr="007142F4">
        <w:rPr>
          <w:sz w:val="24"/>
          <w:szCs w:val="24"/>
        </w:rPr>
        <w:t>, B. (2013) Introduction to Estimating for Construction.</w:t>
      </w:r>
      <w:proofErr w:type="gramEnd"/>
      <w:r w:rsidRPr="007142F4">
        <w:rPr>
          <w:sz w:val="24"/>
          <w:szCs w:val="24"/>
        </w:rPr>
        <w:t xml:space="preserve"> Abingdon, Oxon: </w:t>
      </w:r>
      <w:proofErr w:type="spellStart"/>
      <w:r w:rsidRPr="007142F4">
        <w:rPr>
          <w:sz w:val="24"/>
          <w:szCs w:val="24"/>
        </w:rPr>
        <w:t>Routledge</w:t>
      </w:r>
      <w:proofErr w:type="spellEnd"/>
      <w:r w:rsidRPr="007142F4">
        <w:rPr>
          <w:sz w:val="24"/>
          <w:szCs w:val="24"/>
        </w:rPr>
        <w:t>.</w:t>
      </w:r>
    </w:p>
    <w:p w14:paraId="1E42714B" w14:textId="77777777" w:rsidR="007142F4" w:rsidRPr="007142F4" w:rsidRDefault="007142F4" w:rsidP="007142F4">
      <w:pPr>
        <w:spacing w:before="100" w:beforeAutospacing="1" w:after="100" w:afterAutospacing="1" w:line="360" w:lineRule="auto"/>
        <w:rPr>
          <w:sz w:val="24"/>
          <w:szCs w:val="24"/>
        </w:rPr>
      </w:pPr>
      <w:r w:rsidRPr="007142F4">
        <w:rPr>
          <w:sz w:val="24"/>
          <w:szCs w:val="24"/>
        </w:rPr>
        <w:t xml:space="preserve">Lee, S., Trench, W. and Willis, A. (2014) </w:t>
      </w:r>
      <w:r w:rsidRPr="007142F4">
        <w:rPr>
          <w:i/>
          <w:sz w:val="24"/>
          <w:szCs w:val="24"/>
        </w:rPr>
        <w:t>Willis’s Elements of Quantity Surveying</w:t>
      </w:r>
      <w:r w:rsidRPr="007142F4">
        <w:rPr>
          <w:sz w:val="24"/>
          <w:szCs w:val="24"/>
        </w:rPr>
        <w:t>. Chichester, West Sussex: John Wiley and Sons.</w:t>
      </w:r>
    </w:p>
    <w:p w14:paraId="76011519" w14:textId="77777777" w:rsidR="007142F4" w:rsidRPr="007142F4" w:rsidRDefault="007142F4" w:rsidP="007142F4">
      <w:pPr>
        <w:spacing w:before="100" w:beforeAutospacing="1" w:after="100" w:afterAutospacing="1" w:line="360" w:lineRule="auto"/>
        <w:rPr>
          <w:sz w:val="24"/>
          <w:szCs w:val="24"/>
        </w:rPr>
      </w:pPr>
      <w:r w:rsidRPr="007142F4">
        <w:rPr>
          <w:sz w:val="24"/>
          <w:szCs w:val="24"/>
        </w:rPr>
        <w:t xml:space="preserve">Pratt, D.J.  </w:t>
      </w:r>
      <w:proofErr w:type="gramStart"/>
      <w:r w:rsidRPr="007142F4">
        <w:rPr>
          <w:sz w:val="24"/>
          <w:szCs w:val="24"/>
        </w:rPr>
        <w:t>(2011) Fundamentals of Construction Estimating.</w:t>
      </w:r>
      <w:proofErr w:type="gramEnd"/>
      <w:r w:rsidRPr="007142F4">
        <w:rPr>
          <w:sz w:val="24"/>
          <w:szCs w:val="24"/>
        </w:rPr>
        <w:t xml:space="preserve"> Clifton Park, NY: Delmar</w:t>
      </w:r>
    </w:p>
    <w:p w14:paraId="22934B88" w14:textId="77777777" w:rsidR="007142F4" w:rsidRPr="007142F4" w:rsidRDefault="007142F4" w:rsidP="007142F4">
      <w:pPr>
        <w:spacing w:before="100" w:beforeAutospacing="1" w:after="100" w:afterAutospacing="1" w:line="360" w:lineRule="auto"/>
        <w:rPr>
          <w:sz w:val="24"/>
          <w:szCs w:val="24"/>
        </w:rPr>
      </w:pPr>
      <w:r w:rsidRPr="007142F4">
        <w:rPr>
          <w:sz w:val="24"/>
          <w:szCs w:val="24"/>
        </w:rPr>
        <w:t xml:space="preserve">The Chartered Institute of Building (2012) </w:t>
      </w:r>
      <w:r w:rsidRPr="007142F4">
        <w:rPr>
          <w:i/>
          <w:sz w:val="24"/>
          <w:szCs w:val="24"/>
        </w:rPr>
        <w:t xml:space="preserve">Code of Estimating Practice. </w:t>
      </w:r>
      <w:r w:rsidRPr="007142F4">
        <w:rPr>
          <w:sz w:val="24"/>
          <w:szCs w:val="24"/>
        </w:rPr>
        <w:t xml:space="preserve">Chichester, West Sussex: John Wiley and Sons. </w:t>
      </w:r>
    </w:p>
    <w:p w14:paraId="07C5662B" w14:textId="77777777" w:rsidR="007142F4" w:rsidRPr="007142F4" w:rsidRDefault="007142F4" w:rsidP="007142F4">
      <w:pPr>
        <w:spacing w:before="100" w:beforeAutospacing="1" w:after="100" w:afterAutospacing="1" w:line="360" w:lineRule="auto"/>
        <w:rPr>
          <w:sz w:val="24"/>
          <w:szCs w:val="24"/>
        </w:rPr>
      </w:pPr>
      <w:proofErr w:type="spellStart"/>
      <w:r w:rsidRPr="007142F4">
        <w:rPr>
          <w:sz w:val="24"/>
          <w:szCs w:val="24"/>
        </w:rPr>
        <w:t>Towey</w:t>
      </w:r>
      <w:proofErr w:type="spellEnd"/>
      <w:r w:rsidRPr="007142F4">
        <w:rPr>
          <w:sz w:val="24"/>
          <w:szCs w:val="24"/>
        </w:rPr>
        <w:t xml:space="preserve">, D. (2012) </w:t>
      </w:r>
      <w:r w:rsidRPr="007142F4">
        <w:rPr>
          <w:i/>
          <w:sz w:val="24"/>
          <w:szCs w:val="24"/>
        </w:rPr>
        <w:t>Construction Quantity Surveying: A Practical Guide for the Contractor's QS</w:t>
      </w:r>
      <w:r w:rsidRPr="007142F4">
        <w:rPr>
          <w:sz w:val="24"/>
          <w:szCs w:val="24"/>
        </w:rPr>
        <w:t xml:space="preserve">. Chichester, West Sussex: John Wiley and Sons. </w:t>
      </w:r>
    </w:p>
    <w:p w14:paraId="24F82E26" w14:textId="77777777" w:rsidR="008158EA" w:rsidRPr="007142F4" w:rsidRDefault="008158EA" w:rsidP="008158EA">
      <w:pPr>
        <w:rPr>
          <w:sz w:val="24"/>
          <w:szCs w:val="24"/>
        </w:rPr>
      </w:pPr>
      <w:proofErr w:type="spellStart"/>
      <w:r w:rsidRPr="007142F4">
        <w:rPr>
          <w:sz w:val="24"/>
          <w:szCs w:val="24"/>
        </w:rPr>
        <w:t>Loosemore</w:t>
      </w:r>
      <w:proofErr w:type="spellEnd"/>
      <w:r w:rsidRPr="007142F4">
        <w:rPr>
          <w:sz w:val="24"/>
          <w:szCs w:val="24"/>
        </w:rPr>
        <w:t>, M.  (2004)</w:t>
      </w:r>
      <w:proofErr w:type="gramStart"/>
      <w:r w:rsidRPr="007142F4">
        <w:rPr>
          <w:sz w:val="24"/>
          <w:szCs w:val="24"/>
        </w:rPr>
        <w:t xml:space="preserve">. </w:t>
      </w:r>
      <w:r w:rsidRPr="007142F4">
        <w:rPr>
          <w:i/>
          <w:sz w:val="24"/>
          <w:szCs w:val="24"/>
        </w:rPr>
        <w:t>Essentials of Construction Project Management</w:t>
      </w:r>
      <w:r w:rsidRPr="007142F4">
        <w:rPr>
          <w:sz w:val="24"/>
          <w:szCs w:val="24"/>
        </w:rPr>
        <w:t>.</w:t>
      </w:r>
      <w:proofErr w:type="gramEnd"/>
      <w:r w:rsidRPr="007142F4">
        <w:rPr>
          <w:sz w:val="24"/>
          <w:szCs w:val="24"/>
        </w:rPr>
        <w:t xml:space="preserve"> New South Wales: University of New South Wales.</w:t>
      </w:r>
    </w:p>
    <w:p w14:paraId="600F2C10" w14:textId="77777777" w:rsidR="008158EA" w:rsidRPr="007142F4" w:rsidRDefault="008158EA" w:rsidP="008158EA">
      <w:pPr>
        <w:rPr>
          <w:sz w:val="24"/>
          <w:szCs w:val="24"/>
        </w:rPr>
      </w:pPr>
    </w:p>
    <w:p w14:paraId="411A4DDC" w14:textId="77777777" w:rsidR="008158EA" w:rsidRPr="007142F4" w:rsidRDefault="008158EA" w:rsidP="008158EA">
      <w:pPr>
        <w:rPr>
          <w:sz w:val="24"/>
          <w:szCs w:val="24"/>
        </w:rPr>
      </w:pPr>
      <w:r w:rsidRPr="007142F4">
        <w:rPr>
          <w:sz w:val="24"/>
          <w:szCs w:val="24"/>
        </w:rPr>
        <w:t xml:space="preserve">Masterman, J.W.E. (2002). </w:t>
      </w:r>
      <w:proofErr w:type="gramStart"/>
      <w:r w:rsidRPr="007142F4">
        <w:rPr>
          <w:i/>
          <w:sz w:val="24"/>
          <w:szCs w:val="24"/>
        </w:rPr>
        <w:t>An introduction to building procurement systems</w:t>
      </w:r>
      <w:r w:rsidRPr="007142F4">
        <w:rPr>
          <w:sz w:val="24"/>
          <w:szCs w:val="24"/>
        </w:rPr>
        <w:t>.</w:t>
      </w:r>
      <w:proofErr w:type="gramEnd"/>
      <w:r w:rsidRPr="007142F4">
        <w:rPr>
          <w:sz w:val="24"/>
          <w:szCs w:val="24"/>
        </w:rPr>
        <w:t xml:space="preserve"> Oxford: Taylor and Francis.</w:t>
      </w:r>
    </w:p>
    <w:p w14:paraId="2929C7EA" w14:textId="77777777" w:rsidR="008158EA" w:rsidRPr="007142F4" w:rsidRDefault="008158EA" w:rsidP="008158EA">
      <w:pPr>
        <w:rPr>
          <w:sz w:val="24"/>
          <w:szCs w:val="24"/>
        </w:rPr>
      </w:pPr>
    </w:p>
    <w:p w14:paraId="3A5FFF23" w14:textId="677425FB" w:rsidR="008158EA" w:rsidRPr="007142F4" w:rsidRDefault="008158EA" w:rsidP="008158EA">
      <w:pPr>
        <w:rPr>
          <w:sz w:val="24"/>
          <w:szCs w:val="24"/>
        </w:rPr>
      </w:pPr>
      <w:r w:rsidRPr="007142F4">
        <w:rPr>
          <w:sz w:val="24"/>
          <w:szCs w:val="24"/>
        </w:rPr>
        <w:t xml:space="preserve">Meng, X. (2012). </w:t>
      </w:r>
      <w:proofErr w:type="gramStart"/>
      <w:r w:rsidRPr="007142F4">
        <w:rPr>
          <w:sz w:val="24"/>
          <w:szCs w:val="24"/>
        </w:rPr>
        <w:t>The effect of relationship management on project performance in construction.</w:t>
      </w:r>
      <w:proofErr w:type="gramEnd"/>
      <w:r w:rsidRPr="007142F4">
        <w:rPr>
          <w:sz w:val="24"/>
          <w:szCs w:val="24"/>
        </w:rPr>
        <w:t xml:space="preserve"> </w:t>
      </w:r>
      <w:r w:rsidRPr="007142F4">
        <w:rPr>
          <w:i/>
          <w:sz w:val="24"/>
          <w:szCs w:val="24"/>
        </w:rPr>
        <w:t>International Journal of Project Management,</w:t>
      </w:r>
      <w:r w:rsidRPr="007142F4">
        <w:rPr>
          <w:sz w:val="24"/>
          <w:szCs w:val="24"/>
        </w:rPr>
        <w:t xml:space="preserve"> 30, pp. 188–198.</w:t>
      </w:r>
    </w:p>
    <w:p w14:paraId="0FCBA1B5" w14:textId="77777777" w:rsidR="008158EA" w:rsidRPr="007142F4" w:rsidRDefault="008158EA" w:rsidP="008158EA">
      <w:pPr>
        <w:rPr>
          <w:sz w:val="24"/>
          <w:szCs w:val="24"/>
        </w:rPr>
      </w:pPr>
      <w:r w:rsidRPr="007142F4">
        <w:rPr>
          <w:sz w:val="24"/>
          <w:szCs w:val="24"/>
        </w:rPr>
        <w:t xml:space="preserve">Perry, P. (2008). </w:t>
      </w:r>
      <w:r w:rsidRPr="007142F4">
        <w:rPr>
          <w:i/>
          <w:sz w:val="24"/>
          <w:szCs w:val="24"/>
        </w:rPr>
        <w:t>CDM 2007</w:t>
      </w:r>
      <w:r w:rsidRPr="007142F4">
        <w:rPr>
          <w:sz w:val="24"/>
          <w:szCs w:val="24"/>
        </w:rPr>
        <w:t xml:space="preserve">. Oxford: Butterworth-Heinemann. </w:t>
      </w:r>
    </w:p>
    <w:p w14:paraId="120754E1" w14:textId="77777777" w:rsidR="008158EA" w:rsidRPr="007142F4" w:rsidRDefault="008158EA" w:rsidP="008158EA">
      <w:pPr>
        <w:rPr>
          <w:sz w:val="24"/>
          <w:szCs w:val="24"/>
        </w:rPr>
      </w:pPr>
    </w:p>
    <w:p w14:paraId="3E4FF116" w14:textId="77777777" w:rsidR="008158EA" w:rsidRPr="007142F4" w:rsidRDefault="008158EA" w:rsidP="008158EA">
      <w:pPr>
        <w:rPr>
          <w:sz w:val="24"/>
          <w:szCs w:val="24"/>
        </w:rPr>
      </w:pPr>
      <w:proofErr w:type="gramStart"/>
      <w:r w:rsidRPr="007142F4">
        <w:rPr>
          <w:sz w:val="24"/>
          <w:szCs w:val="24"/>
        </w:rPr>
        <w:t>Royal Institution of British Architects (2013).</w:t>
      </w:r>
      <w:proofErr w:type="gramEnd"/>
      <w:r w:rsidRPr="007142F4">
        <w:rPr>
          <w:sz w:val="24"/>
          <w:szCs w:val="24"/>
        </w:rPr>
        <w:t xml:space="preserve"> </w:t>
      </w:r>
      <w:proofErr w:type="gramStart"/>
      <w:r w:rsidRPr="007142F4">
        <w:rPr>
          <w:i/>
          <w:sz w:val="24"/>
          <w:szCs w:val="24"/>
        </w:rPr>
        <w:t>Plan of Work 2013</w:t>
      </w:r>
      <w:r w:rsidRPr="007142F4">
        <w:rPr>
          <w:sz w:val="24"/>
          <w:szCs w:val="24"/>
        </w:rPr>
        <w:t>.</w:t>
      </w:r>
      <w:proofErr w:type="gramEnd"/>
      <w:r w:rsidRPr="007142F4">
        <w:rPr>
          <w:sz w:val="24"/>
          <w:szCs w:val="24"/>
        </w:rPr>
        <w:t xml:space="preserve"> London: RIBA Publications.</w:t>
      </w:r>
    </w:p>
    <w:p w14:paraId="1BE0BF6C" w14:textId="77777777" w:rsidR="008158EA" w:rsidRPr="007142F4" w:rsidRDefault="008158EA" w:rsidP="008158EA">
      <w:pPr>
        <w:rPr>
          <w:sz w:val="24"/>
          <w:szCs w:val="24"/>
        </w:rPr>
      </w:pPr>
    </w:p>
    <w:p w14:paraId="1168B4BF" w14:textId="31C82D07" w:rsidR="008158EA" w:rsidRPr="007142F4" w:rsidRDefault="008158EA" w:rsidP="008158EA">
      <w:pPr>
        <w:rPr>
          <w:sz w:val="24"/>
          <w:szCs w:val="24"/>
        </w:rPr>
      </w:pPr>
      <w:r w:rsidRPr="007142F4">
        <w:rPr>
          <w:sz w:val="24"/>
          <w:szCs w:val="24"/>
        </w:rPr>
        <w:t xml:space="preserve">Senaratne, S. and Sexton, M. (2011). </w:t>
      </w:r>
      <w:r w:rsidRPr="007142F4">
        <w:rPr>
          <w:i/>
          <w:sz w:val="24"/>
          <w:szCs w:val="24"/>
        </w:rPr>
        <w:t xml:space="preserve">Managing Change in Construction Projects: A Knowledge-Based Approach. </w:t>
      </w:r>
      <w:r w:rsidRPr="007142F4">
        <w:rPr>
          <w:sz w:val="24"/>
          <w:szCs w:val="24"/>
        </w:rPr>
        <w:t>Chichester, We</w:t>
      </w:r>
      <w:r w:rsidR="00C9091D" w:rsidRPr="007142F4">
        <w:rPr>
          <w:sz w:val="24"/>
          <w:szCs w:val="24"/>
        </w:rPr>
        <w:t>st Sussex: John Wiley and Sons.</w:t>
      </w:r>
    </w:p>
    <w:p w14:paraId="78EAC3D2" w14:textId="77777777" w:rsidR="008158EA" w:rsidRPr="007142F4" w:rsidRDefault="008158EA" w:rsidP="008158EA">
      <w:pPr>
        <w:rPr>
          <w:sz w:val="24"/>
          <w:szCs w:val="24"/>
        </w:rPr>
      </w:pPr>
      <w:proofErr w:type="gramStart"/>
      <w:r w:rsidRPr="007142F4">
        <w:rPr>
          <w:sz w:val="24"/>
          <w:szCs w:val="24"/>
        </w:rPr>
        <w:t>Winch, G.M. (2010).</w:t>
      </w:r>
      <w:proofErr w:type="gramEnd"/>
      <w:r w:rsidRPr="007142F4">
        <w:rPr>
          <w:sz w:val="24"/>
          <w:szCs w:val="24"/>
        </w:rPr>
        <w:t xml:space="preserve"> Managing Construction Projects. Chichester, West Sussex: John Wiley and Sons. </w:t>
      </w:r>
    </w:p>
    <w:p w14:paraId="61675795" w14:textId="77777777" w:rsidR="008158EA" w:rsidRPr="007142F4" w:rsidRDefault="008158EA" w:rsidP="008158EA">
      <w:pPr>
        <w:rPr>
          <w:sz w:val="24"/>
          <w:szCs w:val="24"/>
        </w:rPr>
      </w:pPr>
    </w:p>
    <w:p w14:paraId="5497D88D" w14:textId="77777777" w:rsidR="008158EA" w:rsidRPr="007142F4" w:rsidRDefault="008158EA" w:rsidP="008158EA">
      <w:pPr>
        <w:shd w:val="clear" w:color="auto" w:fill="FFFFFF"/>
        <w:spacing w:line="270" w:lineRule="atLeast"/>
        <w:rPr>
          <w:rFonts w:ascii="Arial" w:hAnsi="Arial"/>
          <w:color w:val="333333"/>
          <w:sz w:val="24"/>
          <w:szCs w:val="24"/>
          <w:lang w:val="en-US"/>
        </w:rPr>
      </w:pPr>
    </w:p>
    <w:p w14:paraId="605B88DD" w14:textId="77777777" w:rsidR="008158EA" w:rsidRPr="007142F4" w:rsidRDefault="008158EA" w:rsidP="008158EA">
      <w:pPr>
        <w:shd w:val="clear" w:color="auto" w:fill="FFFFFF"/>
        <w:spacing w:line="270" w:lineRule="atLeast"/>
        <w:rPr>
          <w:rFonts w:ascii="Arial" w:hAnsi="Arial"/>
          <w:color w:val="333333"/>
          <w:sz w:val="24"/>
          <w:szCs w:val="24"/>
          <w:lang w:val="en-US"/>
        </w:rPr>
      </w:pPr>
    </w:p>
    <w:p w14:paraId="329E78DA" w14:textId="77777777" w:rsidR="008158EA" w:rsidRPr="007142F4" w:rsidRDefault="008158EA" w:rsidP="008158EA">
      <w:pPr>
        <w:shd w:val="clear" w:color="auto" w:fill="FFFFFF"/>
        <w:spacing w:line="270" w:lineRule="atLeast"/>
        <w:rPr>
          <w:rFonts w:ascii="Arial" w:hAnsi="Arial"/>
          <w:color w:val="333333"/>
          <w:sz w:val="24"/>
          <w:szCs w:val="24"/>
          <w:lang w:val="en-US"/>
        </w:rPr>
      </w:pPr>
    </w:p>
    <w:p w14:paraId="705295D7" w14:textId="77777777" w:rsidR="00A851DA" w:rsidRPr="007142F4" w:rsidRDefault="00AE1481" w:rsidP="00A851DA">
      <w:pPr>
        <w:autoSpaceDE w:val="0"/>
        <w:autoSpaceDN w:val="0"/>
        <w:adjustRightInd w:val="0"/>
        <w:spacing w:after="0" w:line="240" w:lineRule="auto"/>
        <w:rPr>
          <w:rFonts w:cs="CalvertMT-Bold"/>
          <w:b/>
          <w:bCs/>
          <w:color w:val="002060"/>
          <w:sz w:val="24"/>
          <w:szCs w:val="24"/>
          <w:lang w:val="en-US"/>
        </w:rPr>
      </w:pPr>
      <w:r w:rsidRPr="007142F4">
        <w:rPr>
          <w:rFonts w:cs="CalvertMT-Bold"/>
          <w:b/>
          <w:bCs/>
          <w:color w:val="002060"/>
          <w:sz w:val="24"/>
          <w:szCs w:val="24"/>
          <w:lang w:val="en-US"/>
        </w:rPr>
        <w:t>Student</w:t>
      </w:r>
      <w:r w:rsidR="00A851DA" w:rsidRPr="007142F4">
        <w:rPr>
          <w:rFonts w:cs="CalvertMT-Bold"/>
          <w:b/>
          <w:bCs/>
          <w:color w:val="002060"/>
          <w:sz w:val="24"/>
          <w:szCs w:val="24"/>
          <w:lang w:val="en-US"/>
        </w:rPr>
        <w:t xml:space="preserve"> Statement:</w:t>
      </w:r>
    </w:p>
    <w:p w14:paraId="2B4B3A37" w14:textId="77777777" w:rsidR="00A851DA" w:rsidRPr="007142F4" w:rsidRDefault="00A851DA" w:rsidP="00A851DA">
      <w:pPr>
        <w:autoSpaceDE w:val="0"/>
        <w:autoSpaceDN w:val="0"/>
        <w:adjustRightInd w:val="0"/>
        <w:spacing w:after="0" w:line="240" w:lineRule="auto"/>
        <w:rPr>
          <w:rFonts w:cs="CalvertMT-Bold"/>
          <w:b/>
          <w:bCs/>
          <w:color w:val="001AE6"/>
          <w:sz w:val="24"/>
          <w:szCs w:val="24"/>
          <w:lang w:val="en-US"/>
        </w:rPr>
      </w:pPr>
    </w:p>
    <w:p w14:paraId="0005130C" w14:textId="77777777" w:rsidR="00A851DA" w:rsidRPr="007142F4" w:rsidRDefault="00405895" w:rsidP="00A851DA">
      <w:pPr>
        <w:autoSpaceDE w:val="0"/>
        <w:autoSpaceDN w:val="0"/>
        <w:adjustRightInd w:val="0"/>
        <w:spacing w:after="0" w:line="240" w:lineRule="auto"/>
        <w:rPr>
          <w:rFonts w:cs="Bliss-Regular"/>
          <w:color w:val="000000"/>
          <w:sz w:val="24"/>
          <w:szCs w:val="24"/>
          <w:lang w:val="en-US"/>
        </w:rPr>
      </w:pPr>
      <w:r w:rsidRPr="007142F4">
        <w:rPr>
          <w:rFonts w:cs="Bliss-Regular"/>
          <w:color w:val="000000"/>
          <w:sz w:val="24"/>
          <w:szCs w:val="24"/>
          <w:lang w:val="en-US"/>
        </w:rPr>
        <w:t>By submitting this assignment, I confirm that this is my own work.</w:t>
      </w:r>
    </w:p>
    <w:p w14:paraId="5DB85646" w14:textId="77777777" w:rsidR="00503D7E" w:rsidRPr="007142F4" w:rsidRDefault="00503D7E" w:rsidP="00A851DA">
      <w:pPr>
        <w:autoSpaceDE w:val="0"/>
        <w:autoSpaceDN w:val="0"/>
        <w:adjustRightInd w:val="0"/>
        <w:spacing w:after="0" w:line="240" w:lineRule="auto"/>
        <w:rPr>
          <w:rFonts w:cs="Bliss-Regular"/>
          <w:color w:val="000000"/>
          <w:sz w:val="24"/>
          <w:szCs w:val="24"/>
          <w:lang w:val="en-US"/>
        </w:rPr>
      </w:pPr>
    </w:p>
    <w:p w14:paraId="03D2AE00" w14:textId="77777777" w:rsidR="00503D7E" w:rsidRPr="007142F4" w:rsidRDefault="00503D7E" w:rsidP="00A851DA">
      <w:pPr>
        <w:autoSpaceDE w:val="0"/>
        <w:autoSpaceDN w:val="0"/>
        <w:adjustRightInd w:val="0"/>
        <w:spacing w:after="0" w:line="240" w:lineRule="auto"/>
        <w:rPr>
          <w:rFonts w:cs="Bliss-Regular"/>
          <w:color w:val="000000"/>
          <w:sz w:val="24"/>
          <w:szCs w:val="24"/>
          <w:lang w:val="en-US"/>
        </w:rPr>
      </w:pPr>
    </w:p>
    <w:p w14:paraId="4469ECEC" w14:textId="77777777" w:rsidR="00A851DA" w:rsidRPr="007142F4" w:rsidRDefault="00A851DA" w:rsidP="00A851DA">
      <w:pPr>
        <w:autoSpaceDE w:val="0"/>
        <w:autoSpaceDN w:val="0"/>
        <w:adjustRightInd w:val="0"/>
        <w:spacing w:after="0" w:line="240" w:lineRule="auto"/>
        <w:rPr>
          <w:rFonts w:cs="Bliss-Regular"/>
          <w:color w:val="000000"/>
          <w:sz w:val="24"/>
          <w:szCs w:val="24"/>
          <w:lang w:val="en-US"/>
        </w:rPr>
      </w:pPr>
    </w:p>
    <w:tbl>
      <w:tblPr>
        <w:tblStyle w:val="TableGrid"/>
        <w:tblW w:w="0" w:type="auto"/>
        <w:tblLook w:val="04A0" w:firstRow="1" w:lastRow="0" w:firstColumn="1" w:lastColumn="0" w:noHBand="0" w:noVBand="1"/>
      </w:tblPr>
      <w:tblGrid>
        <w:gridCol w:w="2310"/>
        <w:gridCol w:w="4035"/>
        <w:gridCol w:w="1276"/>
        <w:gridCol w:w="1621"/>
      </w:tblGrid>
      <w:tr w:rsidR="00405895" w:rsidRPr="00B0415E" w14:paraId="282AB8A6" w14:textId="77777777" w:rsidTr="00405895">
        <w:tc>
          <w:tcPr>
            <w:tcW w:w="2310" w:type="dxa"/>
            <w:shd w:val="clear" w:color="auto" w:fill="D9D9D9" w:themeFill="background1" w:themeFillShade="D9"/>
          </w:tcPr>
          <w:p w14:paraId="2EB2F90B" w14:textId="77777777" w:rsidR="00405895" w:rsidRPr="00B0415E" w:rsidRDefault="00405895" w:rsidP="00A851DA">
            <w:pPr>
              <w:rPr>
                <w:rFonts w:cs="Bliss-Regular"/>
                <w:color w:val="000000"/>
              </w:rPr>
            </w:pPr>
            <w:r w:rsidRPr="00B0415E">
              <w:rPr>
                <w:rFonts w:cs="Bliss-Regular"/>
                <w:color w:val="000000"/>
              </w:rPr>
              <w:t>Student Signature</w:t>
            </w:r>
          </w:p>
        </w:tc>
        <w:tc>
          <w:tcPr>
            <w:tcW w:w="4035" w:type="dxa"/>
          </w:tcPr>
          <w:p w14:paraId="2308F6A3" w14:textId="77777777" w:rsidR="00405895" w:rsidRPr="00B0415E" w:rsidRDefault="004067A8" w:rsidP="00A851DA">
            <w:pPr>
              <w:rPr>
                <w:rFonts w:cs="Bliss-Regular"/>
                <w:color w:val="000000"/>
              </w:rPr>
            </w:pPr>
            <w:r>
              <w:rPr>
                <w:rFonts w:cs="Bliss-Regular"/>
                <w:color w:val="000000"/>
              </w:rPr>
              <w:t>JOHN ASHMAN</w:t>
            </w:r>
          </w:p>
        </w:tc>
        <w:tc>
          <w:tcPr>
            <w:tcW w:w="1276" w:type="dxa"/>
            <w:shd w:val="clear" w:color="auto" w:fill="D9D9D9" w:themeFill="background1" w:themeFillShade="D9"/>
          </w:tcPr>
          <w:p w14:paraId="29EA8450" w14:textId="77777777" w:rsidR="00405895" w:rsidRPr="00B0415E" w:rsidRDefault="00405895" w:rsidP="00A851DA">
            <w:pPr>
              <w:rPr>
                <w:rFonts w:cs="Bliss-Regular"/>
                <w:color w:val="000000"/>
              </w:rPr>
            </w:pPr>
            <w:r w:rsidRPr="00B0415E">
              <w:rPr>
                <w:rFonts w:cs="Bliss-Regular"/>
                <w:color w:val="000000"/>
              </w:rPr>
              <w:t>Date</w:t>
            </w:r>
          </w:p>
        </w:tc>
        <w:tc>
          <w:tcPr>
            <w:tcW w:w="1621" w:type="dxa"/>
          </w:tcPr>
          <w:p w14:paraId="24E2B446" w14:textId="396C30A4" w:rsidR="00405895" w:rsidRPr="00B0415E" w:rsidRDefault="007142F4" w:rsidP="00A851DA">
            <w:pPr>
              <w:rPr>
                <w:rFonts w:cs="Bliss-Regular"/>
                <w:color w:val="000000"/>
              </w:rPr>
            </w:pPr>
            <w:r>
              <w:rPr>
                <w:rFonts w:cs="Bliss-Regular"/>
                <w:color w:val="000000"/>
              </w:rPr>
              <w:t>5 DECEMBER 2014</w:t>
            </w:r>
          </w:p>
        </w:tc>
      </w:tr>
    </w:tbl>
    <w:p w14:paraId="09FA7C45" w14:textId="77777777" w:rsidR="00A851DA" w:rsidRPr="00B0415E" w:rsidRDefault="00A851DA" w:rsidP="00A851DA">
      <w:pPr>
        <w:rPr>
          <w:rFonts w:cs="Bliss-Regular"/>
          <w:color w:val="000000"/>
          <w:lang w:val="en-US"/>
        </w:rPr>
      </w:pPr>
    </w:p>
    <w:p w14:paraId="697E0CE0" w14:textId="77777777" w:rsidR="00A851DA" w:rsidRPr="00B0415E" w:rsidRDefault="00A851DA" w:rsidP="00A851DA">
      <w:pPr>
        <w:rPr>
          <w:rFonts w:cs="Bliss-Regular"/>
          <w:color w:val="000000"/>
          <w:lang w:val="en-US"/>
        </w:rPr>
      </w:pPr>
    </w:p>
    <w:p w14:paraId="23C0D4DA" w14:textId="77777777" w:rsidR="00A851DA" w:rsidRPr="00B0415E" w:rsidRDefault="00503D7E" w:rsidP="00503D7E">
      <w:pPr>
        <w:shd w:val="clear" w:color="auto" w:fill="D9D9D9" w:themeFill="background1" w:themeFillShade="D9"/>
        <w:rPr>
          <w:b/>
          <w:sz w:val="32"/>
          <w:lang w:val="en-US"/>
        </w:rPr>
      </w:pPr>
      <w:r w:rsidRPr="00B0415E">
        <w:rPr>
          <w:b/>
          <w:sz w:val="28"/>
          <w:lang w:val="en-US"/>
        </w:rPr>
        <w:t>For Tutor / Assessor Use Only</w:t>
      </w:r>
    </w:p>
    <w:tbl>
      <w:tblPr>
        <w:tblStyle w:val="TableGrid"/>
        <w:tblW w:w="0" w:type="auto"/>
        <w:tblLook w:val="04A0" w:firstRow="1" w:lastRow="0" w:firstColumn="1" w:lastColumn="0" w:noHBand="0" w:noVBand="1"/>
      </w:tblPr>
      <w:tblGrid>
        <w:gridCol w:w="4621"/>
        <w:gridCol w:w="4621"/>
      </w:tblGrid>
      <w:tr w:rsidR="00503D7E" w:rsidRPr="00B0415E" w14:paraId="432A1C94" w14:textId="77777777" w:rsidTr="00B0415E">
        <w:trPr>
          <w:trHeight w:val="249"/>
        </w:trPr>
        <w:tc>
          <w:tcPr>
            <w:tcW w:w="4621" w:type="dxa"/>
            <w:shd w:val="clear" w:color="auto" w:fill="D9D9D9" w:themeFill="background1" w:themeFillShade="D9"/>
          </w:tcPr>
          <w:p w14:paraId="37B2831E" w14:textId="77777777" w:rsidR="00503D7E" w:rsidRPr="00B0415E" w:rsidRDefault="00503D7E" w:rsidP="00503D7E">
            <w:pPr>
              <w:rPr>
                <w:b/>
                <w:color w:val="002060"/>
              </w:rPr>
            </w:pPr>
            <w:r w:rsidRPr="00B0415E">
              <w:rPr>
                <w:b/>
                <w:color w:val="002060"/>
              </w:rPr>
              <w:t>Total Marks</w:t>
            </w:r>
          </w:p>
        </w:tc>
        <w:tc>
          <w:tcPr>
            <w:tcW w:w="4621" w:type="dxa"/>
          </w:tcPr>
          <w:p w14:paraId="565CDA28" w14:textId="77777777" w:rsidR="00503D7E" w:rsidRPr="00B0415E" w:rsidRDefault="00503D7E" w:rsidP="00503D7E">
            <w:pPr>
              <w:rPr>
                <w:rFonts w:cs="Times New Roman"/>
                <w:szCs w:val="32"/>
              </w:rPr>
            </w:pPr>
          </w:p>
        </w:tc>
      </w:tr>
      <w:tr w:rsidR="00503D7E" w:rsidRPr="00B0415E" w14:paraId="1FD6C8BB" w14:textId="77777777" w:rsidTr="00B0415E">
        <w:tc>
          <w:tcPr>
            <w:tcW w:w="4621" w:type="dxa"/>
            <w:shd w:val="clear" w:color="auto" w:fill="D9D9D9" w:themeFill="background1" w:themeFillShade="D9"/>
          </w:tcPr>
          <w:p w14:paraId="419730C2" w14:textId="77777777" w:rsidR="00503D7E" w:rsidRPr="00B0415E" w:rsidRDefault="00503D7E" w:rsidP="00503D7E">
            <w:pPr>
              <w:rPr>
                <w:b/>
                <w:color w:val="002060"/>
              </w:rPr>
            </w:pPr>
            <w:r w:rsidRPr="00B0415E">
              <w:rPr>
                <w:b/>
                <w:color w:val="002060"/>
              </w:rPr>
              <w:t>Marks Obtained</w:t>
            </w:r>
          </w:p>
        </w:tc>
        <w:tc>
          <w:tcPr>
            <w:tcW w:w="4621" w:type="dxa"/>
          </w:tcPr>
          <w:p w14:paraId="603657E5" w14:textId="77777777" w:rsidR="00503D7E" w:rsidRPr="00B0415E" w:rsidRDefault="00503D7E" w:rsidP="00503D7E">
            <w:pPr>
              <w:rPr>
                <w:rFonts w:cs="Times New Roman"/>
                <w:szCs w:val="32"/>
              </w:rPr>
            </w:pPr>
          </w:p>
        </w:tc>
      </w:tr>
      <w:tr w:rsidR="00503D7E" w:rsidRPr="00B0415E" w14:paraId="4F68A10E" w14:textId="77777777" w:rsidTr="00B0415E">
        <w:tc>
          <w:tcPr>
            <w:tcW w:w="4621" w:type="dxa"/>
            <w:shd w:val="clear" w:color="auto" w:fill="D9D9D9" w:themeFill="background1" w:themeFillShade="D9"/>
          </w:tcPr>
          <w:p w14:paraId="0DDF6DED" w14:textId="77777777" w:rsidR="00503D7E" w:rsidRPr="00B0415E" w:rsidRDefault="00B0415E" w:rsidP="00503D7E">
            <w:pPr>
              <w:rPr>
                <w:b/>
                <w:color w:val="002060"/>
              </w:rPr>
            </w:pPr>
            <w:r w:rsidRPr="00B0415E">
              <w:rPr>
                <w:b/>
                <w:color w:val="002060"/>
              </w:rPr>
              <w:t>Percentage / Grade</w:t>
            </w:r>
          </w:p>
        </w:tc>
        <w:tc>
          <w:tcPr>
            <w:tcW w:w="4621" w:type="dxa"/>
          </w:tcPr>
          <w:p w14:paraId="4F88D538" w14:textId="77777777" w:rsidR="00503D7E" w:rsidRPr="00B0415E" w:rsidRDefault="00503D7E" w:rsidP="00503D7E">
            <w:pPr>
              <w:rPr>
                <w:rFonts w:cs="Times New Roman"/>
                <w:szCs w:val="32"/>
              </w:rPr>
            </w:pPr>
          </w:p>
        </w:tc>
      </w:tr>
    </w:tbl>
    <w:p w14:paraId="7BF77C82" w14:textId="77777777" w:rsidR="00A851DA" w:rsidRDefault="00A851DA" w:rsidP="00503D7E">
      <w:pPr>
        <w:rPr>
          <w:rFonts w:cs="Times New Roman"/>
          <w:sz w:val="24"/>
          <w:szCs w:val="32"/>
        </w:rPr>
      </w:pPr>
    </w:p>
    <w:p w14:paraId="6070930B" w14:textId="77777777" w:rsidR="00607874" w:rsidRDefault="00607874" w:rsidP="00503D7E">
      <w:pPr>
        <w:rPr>
          <w:rFonts w:cs="Times New Roman"/>
          <w:sz w:val="24"/>
          <w:szCs w:val="32"/>
        </w:rPr>
      </w:pPr>
    </w:p>
    <w:p w14:paraId="59C5E4BC" w14:textId="77777777" w:rsidR="00607874" w:rsidRDefault="00607874" w:rsidP="00503D7E">
      <w:pPr>
        <w:rPr>
          <w:rFonts w:cs="Times New Roman"/>
          <w:sz w:val="24"/>
          <w:szCs w:val="32"/>
        </w:rPr>
      </w:pPr>
    </w:p>
    <w:p w14:paraId="17E4F50A" w14:textId="77777777" w:rsidR="00607874" w:rsidRDefault="00607874" w:rsidP="00503D7E">
      <w:pPr>
        <w:rPr>
          <w:rFonts w:cs="Times New Roman"/>
          <w:sz w:val="24"/>
          <w:szCs w:val="32"/>
        </w:rPr>
      </w:pPr>
    </w:p>
    <w:p w14:paraId="459933F5" w14:textId="77777777" w:rsidR="00607874" w:rsidRDefault="00607874" w:rsidP="00503D7E">
      <w:pPr>
        <w:rPr>
          <w:rFonts w:cs="Times New Roman"/>
          <w:sz w:val="24"/>
          <w:szCs w:val="32"/>
        </w:rPr>
      </w:pPr>
    </w:p>
    <w:p w14:paraId="216B281B" w14:textId="77777777" w:rsidR="00607874" w:rsidRDefault="00607874" w:rsidP="00503D7E">
      <w:pPr>
        <w:rPr>
          <w:rFonts w:cs="Times New Roman"/>
          <w:sz w:val="24"/>
          <w:szCs w:val="32"/>
        </w:rPr>
      </w:pPr>
    </w:p>
    <w:p w14:paraId="26EE4F14" w14:textId="77777777" w:rsidR="00607874" w:rsidRDefault="00607874" w:rsidP="00503D7E">
      <w:pPr>
        <w:rPr>
          <w:rFonts w:cs="Times New Roman"/>
          <w:sz w:val="24"/>
          <w:szCs w:val="32"/>
        </w:rPr>
      </w:pPr>
    </w:p>
    <w:p w14:paraId="1F5C7FBE" w14:textId="77777777" w:rsidR="00607874" w:rsidRDefault="00607874" w:rsidP="00503D7E">
      <w:pPr>
        <w:rPr>
          <w:rFonts w:cs="Times New Roman"/>
          <w:sz w:val="24"/>
          <w:szCs w:val="32"/>
        </w:rPr>
      </w:pPr>
    </w:p>
    <w:p w14:paraId="3A9D6ED2" w14:textId="77777777" w:rsidR="00EA30AB" w:rsidRDefault="00EA30AB" w:rsidP="00503D7E">
      <w:pPr>
        <w:rPr>
          <w:rFonts w:cs="Times New Roman"/>
          <w:sz w:val="24"/>
          <w:szCs w:val="32"/>
        </w:rPr>
      </w:pPr>
    </w:p>
    <w:p w14:paraId="44B13D1D" w14:textId="77777777" w:rsidR="00EA30AB" w:rsidRDefault="00EA30AB" w:rsidP="00503D7E">
      <w:pPr>
        <w:rPr>
          <w:rFonts w:cs="Times New Roman"/>
          <w:sz w:val="24"/>
          <w:szCs w:val="32"/>
        </w:rPr>
      </w:pPr>
    </w:p>
    <w:p w14:paraId="5E825EAB" w14:textId="77777777"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F8B779E" w14:textId="77777777" w:rsidR="008158EA" w:rsidRDefault="008158EA" w:rsidP="00CB4D0A">
      <w:pPr>
        <w:spacing w:after="0" w:line="240" w:lineRule="auto"/>
      </w:pPr>
      <w:r>
        <w:separator/>
      </w:r>
    </w:p>
  </w:endnote>
  <w:endnote w:type="continuationSeparator" w:id="0">
    <w:p w14:paraId="059E4868" w14:textId="77777777" w:rsidR="008158EA" w:rsidRDefault="008158EA"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Tahoma">
    <w:panose1 w:val="020B060403050404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Cambria">
    <w:panose1 w:val="0204050305040603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3F88CC4" w14:textId="77777777" w:rsidR="008158EA" w:rsidRDefault="008158EA" w:rsidP="00CB4D0A">
      <w:pPr>
        <w:spacing w:after="0" w:line="240" w:lineRule="auto"/>
      </w:pPr>
      <w:r>
        <w:separator/>
      </w:r>
    </w:p>
  </w:footnote>
  <w:footnote w:type="continuationSeparator" w:id="0">
    <w:p w14:paraId="4B8BC4A3" w14:textId="77777777" w:rsidR="008158EA" w:rsidRDefault="008158EA" w:rsidP="00CB4D0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4F1D4919"/>
    <w:multiLevelType w:val="hybridMultilevel"/>
    <w:tmpl w:val="14BE2274"/>
    <w:lvl w:ilvl="0" w:tplc="7688C384">
      <w:start w:val="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6"/>
  <w:proofState w:spelling="clean" w:grammar="clean"/>
  <w:defaultTabStop w:val="720"/>
  <w:characterSpacingControl w:val="doNotCompress"/>
  <w:hdrShapeDefaults>
    <o:shapedefaults v:ext="edit" spidmax="2050">
      <o:colormenu v:ext="edit" strokecolor="none"/>
    </o:shapedefaults>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90CB9"/>
    <w:rsid w:val="000158F9"/>
    <w:rsid w:val="00035CDD"/>
    <w:rsid w:val="00040083"/>
    <w:rsid w:val="00055992"/>
    <w:rsid w:val="000820E8"/>
    <w:rsid w:val="00107A14"/>
    <w:rsid w:val="001126A3"/>
    <w:rsid w:val="001175EE"/>
    <w:rsid w:val="00157CF6"/>
    <w:rsid w:val="00182416"/>
    <w:rsid w:val="00187EB4"/>
    <w:rsid w:val="001F0481"/>
    <w:rsid w:val="0020451E"/>
    <w:rsid w:val="00206B9D"/>
    <w:rsid w:val="0023259C"/>
    <w:rsid w:val="00290DFF"/>
    <w:rsid w:val="002B0BD7"/>
    <w:rsid w:val="002B573D"/>
    <w:rsid w:val="002C5CB2"/>
    <w:rsid w:val="002F779F"/>
    <w:rsid w:val="00353C12"/>
    <w:rsid w:val="00371885"/>
    <w:rsid w:val="003E2B87"/>
    <w:rsid w:val="00405895"/>
    <w:rsid w:val="004058DF"/>
    <w:rsid w:val="004067A8"/>
    <w:rsid w:val="00486F1A"/>
    <w:rsid w:val="00490CB9"/>
    <w:rsid w:val="004A2CE2"/>
    <w:rsid w:val="004E3CDA"/>
    <w:rsid w:val="004F4B4D"/>
    <w:rsid w:val="004F751F"/>
    <w:rsid w:val="0050216D"/>
    <w:rsid w:val="00503D7E"/>
    <w:rsid w:val="0050778F"/>
    <w:rsid w:val="00535F31"/>
    <w:rsid w:val="00574D64"/>
    <w:rsid w:val="00591365"/>
    <w:rsid w:val="005B31E4"/>
    <w:rsid w:val="006034F6"/>
    <w:rsid w:val="00607874"/>
    <w:rsid w:val="00607E77"/>
    <w:rsid w:val="00617BB3"/>
    <w:rsid w:val="00645CDD"/>
    <w:rsid w:val="006823A7"/>
    <w:rsid w:val="0070347F"/>
    <w:rsid w:val="0070678E"/>
    <w:rsid w:val="007142F4"/>
    <w:rsid w:val="007D72C0"/>
    <w:rsid w:val="008158EA"/>
    <w:rsid w:val="00831C11"/>
    <w:rsid w:val="008A60B4"/>
    <w:rsid w:val="008B3C31"/>
    <w:rsid w:val="008B64FE"/>
    <w:rsid w:val="00935BF7"/>
    <w:rsid w:val="0095442C"/>
    <w:rsid w:val="00983942"/>
    <w:rsid w:val="009C37E0"/>
    <w:rsid w:val="00A14B66"/>
    <w:rsid w:val="00A65CF7"/>
    <w:rsid w:val="00A851DA"/>
    <w:rsid w:val="00AC7D5B"/>
    <w:rsid w:val="00AE1481"/>
    <w:rsid w:val="00B0415E"/>
    <w:rsid w:val="00B04678"/>
    <w:rsid w:val="00BC46DF"/>
    <w:rsid w:val="00C03577"/>
    <w:rsid w:val="00C65FEA"/>
    <w:rsid w:val="00C9091D"/>
    <w:rsid w:val="00CA0AC2"/>
    <w:rsid w:val="00CB4D0A"/>
    <w:rsid w:val="00CC2FB3"/>
    <w:rsid w:val="00CC575A"/>
    <w:rsid w:val="00D039AC"/>
    <w:rsid w:val="00D427DE"/>
    <w:rsid w:val="00D5587D"/>
    <w:rsid w:val="00D707CC"/>
    <w:rsid w:val="00D821FE"/>
    <w:rsid w:val="00DB0793"/>
    <w:rsid w:val="00E00821"/>
    <w:rsid w:val="00E04DB4"/>
    <w:rsid w:val="00E30679"/>
    <w:rsid w:val="00E4597D"/>
    <w:rsid w:val="00E54832"/>
    <w:rsid w:val="00E56A90"/>
    <w:rsid w:val="00E641CC"/>
    <w:rsid w:val="00EA30AB"/>
    <w:rsid w:val="00EB3925"/>
    <w:rsid w:val="00FE45E2"/>
  </w:rsids>
  <m:mathPr>
    <m:mathFont m:val="Cambria Math"/>
    <m:brkBin m:val="before"/>
    <m:brkBinSub m:val="--"/>
    <m:smallFrac m:val="0"/>
    <m:dispDef/>
    <m:lMargin m:val="0"/>
    <m:rMargin m:val="0"/>
    <m:defJc m:val="centerGroup"/>
    <m:wrapIndent m:val="1440"/>
    <m:intLim m:val="subSup"/>
    <m:naryLim m:val="undOvr"/>
  </m:mathPr>
  <w:themeFontLang w:val="en-GB"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colormenu v:ext="edit" strokecolor="none"/>
    </o:shapedefaults>
    <o:shapelayout v:ext="edit">
      <o:idmap v:ext="edit" data="1"/>
    </o:shapelayout>
  </w:shapeDefaults>
  <w:decimalSymbol w:val="."/>
  <w:listSeparator w:val=","/>
  <w14:docId w14:val="22A748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4067A8"/>
    <w:rPr>
      <w:color w:val="0000FF"/>
      <w:u w:val="single"/>
    </w:rPr>
  </w:style>
  <w:style w:type="paragraph" w:styleId="FootnoteText">
    <w:name w:val="footnote text"/>
    <w:basedOn w:val="Normal"/>
    <w:link w:val="FootnoteTextChar"/>
    <w:semiHidden/>
    <w:rsid w:val="004067A8"/>
    <w:pPr>
      <w:spacing w:after="0" w:line="240" w:lineRule="auto"/>
    </w:pPr>
    <w:rPr>
      <w:rFonts w:ascii="Times New Roman" w:eastAsia="Times New Roman" w:hAnsi="Times New Roman" w:cs="Arial"/>
      <w:sz w:val="20"/>
      <w:szCs w:val="20"/>
    </w:rPr>
  </w:style>
  <w:style w:type="character" w:customStyle="1" w:styleId="FootnoteTextChar">
    <w:name w:val="Footnote Text Char"/>
    <w:basedOn w:val="DefaultParagraphFont"/>
    <w:link w:val="FootnoteText"/>
    <w:semiHidden/>
    <w:rsid w:val="004067A8"/>
    <w:rPr>
      <w:rFonts w:ascii="Times New Roman" w:eastAsia="Times New Roman" w:hAnsi="Times New Roman" w:cs="Arial"/>
      <w:sz w:val="20"/>
      <w:szCs w:val="20"/>
    </w:rPr>
  </w:style>
  <w:style w:type="character" w:styleId="FootnoteReference">
    <w:name w:val="footnote reference"/>
    <w:semiHidden/>
    <w:rsid w:val="004067A8"/>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note text" w:uiPriority="0"/>
    <w:lsdException w:name="caption" w:uiPriority="35" w:qFormat="1"/>
    <w:lsdException w:name="footnote reference" w:uiPriority="0"/>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yperlink">
    <w:name w:val="Hyperlink"/>
    <w:rsid w:val="004067A8"/>
    <w:rPr>
      <w:color w:val="0000FF"/>
      <w:u w:val="single"/>
    </w:rPr>
  </w:style>
  <w:style w:type="paragraph" w:styleId="FootnoteText">
    <w:name w:val="footnote text"/>
    <w:basedOn w:val="Normal"/>
    <w:link w:val="FootnoteTextChar"/>
    <w:semiHidden/>
    <w:rsid w:val="004067A8"/>
    <w:pPr>
      <w:spacing w:after="0" w:line="240" w:lineRule="auto"/>
    </w:pPr>
    <w:rPr>
      <w:rFonts w:ascii="Times New Roman" w:eastAsia="Times New Roman" w:hAnsi="Times New Roman" w:cs="Arial"/>
      <w:sz w:val="20"/>
      <w:szCs w:val="20"/>
    </w:rPr>
  </w:style>
  <w:style w:type="character" w:customStyle="1" w:styleId="FootnoteTextChar">
    <w:name w:val="Footnote Text Char"/>
    <w:basedOn w:val="DefaultParagraphFont"/>
    <w:link w:val="FootnoteText"/>
    <w:semiHidden/>
    <w:rsid w:val="004067A8"/>
    <w:rPr>
      <w:rFonts w:ascii="Times New Roman" w:eastAsia="Times New Roman" w:hAnsi="Times New Roman" w:cs="Arial"/>
      <w:sz w:val="20"/>
      <w:szCs w:val="20"/>
    </w:rPr>
  </w:style>
  <w:style w:type="character" w:styleId="FootnoteReference">
    <w:name w:val="footnote reference"/>
    <w:semiHidden/>
    <w:rsid w:val="004067A8"/>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otnotes" Target="footnotes.xml"/><Relationship Id="rId8" Type="http://schemas.openxmlformats.org/officeDocument/2006/relationships/endnotes" Target="endnotes.xml"/><Relationship Id="rId9" Type="http://schemas.openxmlformats.org/officeDocument/2006/relationships/image" Target="media/image1.png"/><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C4F4ECC-493F-CB4E-AD7F-222F9DAC3E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8</Pages>
  <Words>1737</Words>
  <Characters>9906</Characters>
  <Application>Microsoft Macintosh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11620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kemipher</dc:creator>
  <cp:lastModifiedBy>mac</cp:lastModifiedBy>
  <cp:revision>2</cp:revision>
  <cp:lastPrinted>2014-07-11T14:36:00Z</cp:lastPrinted>
  <dcterms:created xsi:type="dcterms:W3CDTF">2014-12-05T17:44:00Z</dcterms:created>
  <dcterms:modified xsi:type="dcterms:W3CDTF">2014-12-05T17:44:00Z</dcterms:modified>
</cp:coreProperties>
</file>