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412730">
            <w:pPr>
              <w:rPr>
                <w:rFonts w:ascii="Arial" w:hAnsi="Arial" w:cs="Arial"/>
                <w:sz w:val="24"/>
                <w:szCs w:val="24"/>
              </w:rPr>
            </w:pPr>
            <w:r>
              <w:rPr>
                <w:rFonts w:ascii="Arial" w:hAnsi="Arial" w:cs="Arial"/>
                <w:sz w:val="24"/>
                <w:szCs w:val="24"/>
              </w:rP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F47BEC">
            <w:pPr>
              <w:ind w:left="960"/>
              <w:rPr>
                <w:rFonts w:ascii="Arial" w:hAnsi="Arial" w:cs="Arial"/>
                <w:sz w:val="24"/>
                <w:szCs w:val="24"/>
              </w:rPr>
            </w:pPr>
            <w:r w:rsidRPr="00CC2FB3">
              <w:rPr>
                <w:rFonts w:ascii="Arial" w:hAnsi="Arial" w:cs="Arial"/>
                <w:sz w:val="24"/>
                <w:szCs w:val="24"/>
              </w:rPr>
              <w:t>Please insert your completed assignment</w:t>
            </w:r>
            <w:r w:rsidR="00F47BEC">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F47BEC" w:rsidRDefault="00F47BEC" w:rsidP="00F47BEC">
            <w:pPr>
              <w:ind w:left="960"/>
              <w:rPr>
                <w:rFonts w:ascii="Arial" w:hAnsi="Arial" w:cs="Arial"/>
                <w:sz w:val="24"/>
                <w:szCs w:val="24"/>
              </w:rPr>
            </w:pPr>
          </w:p>
          <w:p w:rsidR="00F47BEC" w:rsidRPr="007551B2" w:rsidRDefault="00F47BEC" w:rsidP="00F47BEC">
            <w:pPr>
              <w:pStyle w:val="ListParagraph"/>
              <w:numPr>
                <w:ilvl w:val="0"/>
                <w:numId w:val="6"/>
              </w:numPr>
              <w:spacing w:after="160" w:line="360" w:lineRule="auto"/>
              <w:ind w:left="960"/>
              <w:jc w:val="both"/>
              <w:rPr>
                <w:rFonts w:ascii="Arial" w:hAnsi="Arial" w:cs="Arial"/>
                <w:sz w:val="24"/>
                <w:szCs w:val="24"/>
              </w:rPr>
            </w:pPr>
            <w:r w:rsidRPr="007551B2">
              <w:rPr>
                <w:rFonts w:ascii="Arial" w:hAnsi="Arial" w:cs="Arial"/>
                <w:sz w:val="24"/>
                <w:szCs w:val="24"/>
              </w:rPr>
              <w:t xml:space="preserve">i)  High level thieves are fraudsters who hold executive posts and have higher management roles in an organisation while low level thieves are low grade employees with low levels of authority and financial impact. The distinction between the two groups of thieves was well explained by the ACFE report to the nations on occupational fraud and abuse: 2014 Global Fraud study as follows: </w:t>
            </w:r>
          </w:p>
          <w:p w:rsidR="00F47BEC" w:rsidRPr="007551B2" w:rsidRDefault="00F47BEC" w:rsidP="00F47BEC">
            <w:pPr>
              <w:pStyle w:val="ListParagraph"/>
              <w:spacing w:line="360" w:lineRule="auto"/>
              <w:ind w:left="960"/>
              <w:jc w:val="both"/>
              <w:rPr>
                <w:rFonts w:ascii="Arial" w:hAnsi="Arial" w:cs="Arial"/>
                <w:sz w:val="24"/>
                <w:szCs w:val="24"/>
              </w:rPr>
            </w:pPr>
          </w:p>
          <w:p w:rsidR="00F47BEC" w:rsidRPr="007551B2" w:rsidRDefault="00F47BEC" w:rsidP="00F47BEC">
            <w:pPr>
              <w:pStyle w:val="ListParagraph"/>
              <w:spacing w:line="360" w:lineRule="auto"/>
              <w:ind w:left="960"/>
              <w:jc w:val="both"/>
              <w:rPr>
                <w:rFonts w:ascii="Arial" w:hAnsi="Arial" w:cs="Arial"/>
                <w:sz w:val="24"/>
                <w:szCs w:val="24"/>
              </w:rPr>
            </w:pPr>
            <w:r w:rsidRPr="007551B2">
              <w:rPr>
                <w:rFonts w:ascii="Arial" w:hAnsi="Arial" w:cs="Arial"/>
                <w:sz w:val="24"/>
                <w:szCs w:val="24"/>
              </w:rPr>
              <w:t>The medial loss for high level employees is high, in the 2014 study, ($500 000.00) compared to $130 000.00 for managers, and $75 000.00 for general employees. This is so because executives/owners have greater access to organizational assets and can easily evade or override organizational controls.</w:t>
            </w:r>
          </w:p>
          <w:p w:rsidR="00F47BEC" w:rsidRPr="007551B2" w:rsidRDefault="00F47BEC" w:rsidP="00F47BEC">
            <w:pPr>
              <w:pStyle w:val="ListParagraph"/>
              <w:spacing w:line="360" w:lineRule="auto"/>
              <w:ind w:left="960"/>
              <w:jc w:val="both"/>
              <w:rPr>
                <w:rFonts w:ascii="Arial" w:hAnsi="Arial" w:cs="Arial"/>
                <w:sz w:val="24"/>
                <w:szCs w:val="24"/>
              </w:rPr>
            </w:pPr>
          </w:p>
          <w:p w:rsidR="00F47BEC" w:rsidRPr="007551B2" w:rsidRDefault="00F47BEC" w:rsidP="00F47BEC">
            <w:pPr>
              <w:pStyle w:val="ListParagraph"/>
              <w:spacing w:line="360" w:lineRule="auto"/>
              <w:ind w:left="960"/>
              <w:jc w:val="both"/>
              <w:rPr>
                <w:rFonts w:ascii="Arial" w:hAnsi="Arial" w:cs="Arial"/>
                <w:sz w:val="24"/>
                <w:szCs w:val="24"/>
              </w:rPr>
            </w:pPr>
            <w:r w:rsidRPr="007551B2">
              <w:rPr>
                <w:rFonts w:ascii="Arial" w:hAnsi="Arial" w:cs="Arial"/>
                <w:sz w:val="24"/>
                <w:szCs w:val="24"/>
              </w:rPr>
              <w:t>The frequency of violations is high for low level thieves (employees) while occurrences are fewer for high level employees. In a typical organisation there are many employees as compared to senior managers.</w:t>
            </w:r>
          </w:p>
          <w:p w:rsidR="00F47BEC" w:rsidRPr="007551B2" w:rsidRDefault="00F47BEC" w:rsidP="00F47BEC">
            <w:pPr>
              <w:pStyle w:val="ListParagraph"/>
              <w:spacing w:line="360" w:lineRule="auto"/>
              <w:ind w:left="960"/>
              <w:jc w:val="both"/>
              <w:rPr>
                <w:rFonts w:ascii="Arial" w:hAnsi="Arial" w:cs="Arial"/>
                <w:sz w:val="24"/>
                <w:szCs w:val="24"/>
              </w:rPr>
            </w:pPr>
          </w:p>
          <w:p w:rsidR="00F47BEC" w:rsidRPr="007551B2" w:rsidRDefault="00F47BEC" w:rsidP="00F47BEC">
            <w:pPr>
              <w:pStyle w:val="ListParagraph"/>
              <w:spacing w:line="360" w:lineRule="auto"/>
              <w:ind w:left="960"/>
              <w:jc w:val="both"/>
              <w:rPr>
                <w:rFonts w:ascii="Arial" w:hAnsi="Arial" w:cs="Arial"/>
                <w:sz w:val="24"/>
                <w:szCs w:val="24"/>
              </w:rPr>
            </w:pPr>
            <w:r w:rsidRPr="007551B2">
              <w:rPr>
                <w:rFonts w:ascii="Arial" w:hAnsi="Arial" w:cs="Arial"/>
                <w:sz w:val="24"/>
                <w:szCs w:val="24"/>
              </w:rPr>
              <w:t xml:space="preserve">Another difference is that high level thieves take too long to detect while low level thieves are usually detected quickly since high level thieves are </w:t>
            </w:r>
            <w:r w:rsidRPr="007551B2">
              <w:rPr>
                <w:rFonts w:ascii="Arial" w:hAnsi="Arial" w:cs="Arial"/>
                <w:sz w:val="24"/>
                <w:szCs w:val="24"/>
              </w:rPr>
              <w:lastRenderedPageBreak/>
              <w:t xml:space="preserve">in a position to avoid controls. They can easily frustrate investigations that may lead into their detection, </w:t>
            </w:r>
            <w:sdt>
              <w:sdtPr>
                <w:rPr>
                  <w:rFonts w:ascii="Arial" w:hAnsi="Arial" w:cs="Arial"/>
                  <w:sz w:val="24"/>
                  <w:szCs w:val="24"/>
                </w:rPr>
                <w:id w:val="-2020617323"/>
                <w:citation/>
              </w:sdtPr>
              <w:sdtContent>
                <w:r w:rsidRPr="007551B2">
                  <w:rPr>
                    <w:rFonts w:ascii="Arial" w:hAnsi="Arial" w:cs="Arial"/>
                    <w:sz w:val="24"/>
                    <w:szCs w:val="24"/>
                  </w:rPr>
                  <w:fldChar w:fldCharType="begin"/>
                </w:r>
                <w:r w:rsidRPr="007551B2">
                  <w:rPr>
                    <w:rFonts w:ascii="Arial" w:hAnsi="Arial" w:cs="Arial"/>
                    <w:sz w:val="24"/>
                    <w:szCs w:val="24"/>
                  </w:rPr>
                  <w:instrText xml:space="preserve">CITATION ACF14 \l 1033 </w:instrText>
                </w:r>
                <w:r w:rsidRPr="007551B2">
                  <w:rPr>
                    <w:rFonts w:ascii="Arial" w:hAnsi="Arial" w:cs="Arial"/>
                    <w:sz w:val="24"/>
                    <w:szCs w:val="24"/>
                  </w:rPr>
                  <w:fldChar w:fldCharType="separate"/>
                </w:r>
                <w:r w:rsidRPr="007551B2">
                  <w:rPr>
                    <w:rFonts w:ascii="Arial" w:hAnsi="Arial" w:cs="Arial"/>
                    <w:noProof/>
                    <w:sz w:val="24"/>
                    <w:szCs w:val="24"/>
                  </w:rPr>
                  <w:t>(ACFE, 2015)</w:t>
                </w:r>
                <w:r w:rsidRPr="007551B2">
                  <w:rPr>
                    <w:rFonts w:ascii="Arial" w:hAnsi="Arial" w:cs="Arial"/>
                    <w:sz w:val="24"/>
                    <w:szCs w:val="24"/>
                  </w:rPr>
                  <w:fldChar w:fldCharType="end"/>
                </w:r>
              </w:sdtContent>
            </w:sdt>
            <w:r w:rsidRPr="007551B2">
              <w:rPr>
                <w:rFonts w:ascii="Arial" w:hAnsi="Arial" w:cs="Arial"/>
                <w:sz w:val="24"/>
                <w:szCs w:val="24"/>
              </w:rPr>
              <w:t xml:space="preserve">. </w:t>
            </w:r>
          </w:p>
          <w:p w:rsidR="00F47BEC" w:rsidRPr="007551B2" w:rsidRDefault="00F47BEC" w:rsidP="00F47BEC">
            <w:pPr>
              <w:pStyle w:val="ListParagraph"/>
              <w:spacing w:line="360" w:lineRule="auto"/>
              <w:ind w:left="960"/>
              <w:jc w:val="both"/>
              <w:rPr>
                <w:rFonts w:ascii="Arial" w:hAnsi="Arial" w:cs="Arial"/>
                <w:sz w:val="24"/>
                <w:szCs w:val="24"/>
              </w:rPr>
            </w:pPr>
          </w:p>
          <w:p w:rsidR="00F47BEC" w:rsidRDefault="00F47BEC" w:rsidP="00F47BEC">
            <w:pPr>
              <w:spacing w:line="360" w:lineRule="auto"/>
              <w:ind w:left="960"/>
              <w:jc w:val="both"/>
              <w:rPr>
                <w:rFonts w:ascii="Arial" w:hAnsi="Arial" w:cs="Arial"/>
                <w:sz w:val="24"/>
                <w:szCs w:val="24"/>
              </w:rPr>
            </w:pPr>
            <w:r w:rsidRPr="007551B2">
              <w:rPr>
                <w:rFonts w:ascii="Arial" w:hAnsi="Arial" w:cs="Arial"/>
                <w:sz w:val="24"/>
                <w:szCs w:val="24"/>
              </w:rPr>
              <w:tab/>
              <w:t>ii)  Outlined below is a profile of a person who commits an expensive fraud:</w:t>
            </w:r>
          </w:p>
          <w:p w:rsidR="00F47BEC" w:rsidRPr="007551B2" w:rsidRDefault="00F47BEC" w:rsidP="00F47BEC">
            <w:pPr>
              <w:spacing w:line="360" w:lineRule="auto"/>
              <w:ind w:left="960"/>
              <w:jc w:val="both"/>
              <w:rPr>
                <w:rFonts w:ascii="Arial" w:hAnsi="Arial" w:cs="Arial"/>
                <w:sz w:val="24"/>
                <w:szCs w:val="24"/>
              </w:rPr>
            </w:pPr>
          </w:p>
          <w:p w:rsidR="00F47BEC" w:rsidRPr="007551B2" w:rsidRDefault="00F47BEC" w:rsidP="00F47BEC">
            <w:pPr>
              <w:spacing w:line="360" w:lineRule="auto"/>
              <w:ind w:left="960"/>
              <w:jc w:val="both"/>
              <w:rPr>
                <w:rFonts w:ascii="Arial" w:hAnsi="Arial" w:cs="Arial"/>
                <w:sz w:val="24"/>
                <w:szCs w:val="24"/>
              </w:rPr>
            </w:pPr>
            <w:r w:rsidRPr="007551B2">
              <w:rPr>
                <w:rFonts w:ascii="Arial" w:hAnsi="Arial" w:cs="Arial"/>
                <w:sz w:val="24"/>
                <w:szCs w:val="24"/>
              </w:rPr>
              <w:tab/>
              <w:t xml:space="preserve">    </w:t>
            </w:r>
            <w:r w:rsidRPr="007551B2">
              <w:rPr>
                <w:rFonts w:ascii="Arial" w:hAnsi="Arial" w:cs="Arial"/>
                <w:b/>
                <w:sz w:val="24"/>
                <w:szCs w:val="24"/>
              </w:rPr>
              <w:t>Position</w:t>
            </w:r>
            <w:r w:rsidRPr="007551B2">
              <w:rPr>
                <w:rFonts w:ascii="Arial" w:hAnsi="Arial" w:cs="Arial"/>
                <w:sz w:val="24"/>
                <w:szCs w:val="24"/>
              </w:rPr>
              <w:t>: Owner/ Executive.</w:t>
            </w:r>
            <w:r w:rsidRPr="007551B2">
              <w:rPr>
                <w:rFonts w:ascii="Arial" w:hAnsi="Arial" w:cs="Arial"/>
                <w:sz w:val="24"/>
                <w:szCs w:val="24"/>
              </w:rPr>
              <w:tab/>
            </w:r>
          </w:p>
          <w:p w:rsidR="00F47BEC" w:rsidRPr="007551B2" w:rsidRDefault="00F47BEC" w:rsidP="00F47BEC">
            <w:pPr>
              <w:tabs>
                <w:tab w:val="left" w:pos="990"/>
                <w:tab w:val="left" w:pos="1350"/>
              </w:tabs>
              <w:spacing w:line="360" w:lineRule="auto"/>
              <w:ind w:left="96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Gender</w:t>
            </w:r>
            <w:r w:rsidRPr="007551B2">
              <w:rPr>
                <w:rFonts w:ascii="Arial" w:hAnsi="Arial" w:cs="Arial"/>
                <w:sz w:val="24"/>
                <w:szCs w:val="24"/>
              </w:rPr>
              <w:t>: Male.</w:t>
            </w:r>
          </w:p>
          <w:p w:rsidR="00F47BEC" w:rsidRPr="007551B2" w:rsidRDefault="00F47BEC" w:rsidP="00F47BEC">
            <w:pPr>
              <w:tabs>
                <w:tab w:val="left" w:pos="990"/>
                <w:tab w:val="left" w:pos="1350"/>
              </w:tabs>
              <w:spacing w:line="360" w:lineRule="auto"/>
              <w:ind w:left="96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Age</w:t>
            </w:r>
            <w:r w:rsidRPr="007551B2">
              <w:rPr>
                <w:rFonts w:ascii="Arial" w:hAnsi="Arial" w:cs="Arial"/>
                <w:b/>
                <w:sz w:val="24"/>
                <w:szCs w:val="24"/>
              </w:rPr>
              <w:tab/>
            </w:r>
            <w:r w:rsidRPr="007551B2">
              <w:rPr>
                <w:rFonts w:ascii="Arial" w:hAnsi="Arial" w:cs="Arial"/>
                <w:sz w:val="24"/>
                <w:szCs w:val="24"/>
              </w:rPr>
              <w:t xml:space="preserve">     :  60 years or more.</w:t>
            </w:r>
          </w:p>
          <w:p w:rsidR="00F47BEC" w:rsidRPr="007551B2" w:rsidRDefault="00F47BEC" w:rsidP="00F47BEC">
            <w:pPr>
              <w:tabs>
                <w:tab w:val="left" w:pos="990"/>
                <w:tab w:val="left" w:pos="1350"/>
              </w:tabs>
              <w:spacing w:line="360" w:lineRule="auto"/>
              <w:ind w:left="96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Experience with the company</w:t>
            </w:r>
            <w:r w:rsidRPr="007551B2">
              <w:rPr>
                <w:rFonts w:ascii="Arial" w:hAnsi="Arial" w:cs="Arial"/>
                <w:sz w:val="24"/>
                <w:szCs w:val="24"/>
              </w:rPr>
              <w:t>: 10 years or more.</w:t>
            </w:r>
          </w:p>
          <w:p w:rsidR="00F47BEC" w:rsidRPr="007551B2" w:rsidRDefault="00F47BEC" w:rsidP="00F47BEC">
            <w:pPr>
              <w:tabs>
                <w:tab w:val="left" w:pos="990"/>
                <w:tab w:val="left" w:pos="1350"/>
              </w:tabs>
              <w:spacing w:line="360" w:lineRule="auto"/>
              <w:ind w:left="96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Education</w:t>
            </w:r>
            <w:r w:rsidRPr="007551B2">
              <w:rPr>
                <w:rFonts w:ascii="Arial" w:hAnsi="Arial" w:cs="Arial"/>
                <w:sz w:val="24"/>
                <w:szCs w:val="24"/>
              </w:rPr>
              <w:tab/>
              <w:t>: Highly educated (Postgraduate level).</w:t>
            </w:r>
          </w:p>
          <w:p w:rsidR="00F47BEC" w:rsidRDefault="00F47BEC" w:rsidP="00F47BEC">
            <w:pPr>
              <w:tabs>
                <w:tab w:val="left" w:pos="990"/>
                <w:tab w:val="left" w:pos="1350"/>
              </w:tabs>
              <w:spacing w:line="360" w:lineRule="auto"/>
              <w:ind w:left="96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Employment History</w:t>
            </w:r>
            <w:r w:rsidRPr="007551B2">
              <w:rPr>
                <w:rFonts w:ascii="Arial" w:hAnsi="Arial" w:cs="Arial"/>
                <w:sz w:val="24"/>
                <w:szCs w:val="24"/>
              </w:rPr>
              <w:t xml:space="preserve">: Never punished or terminated in prior years, </w:t>
            </w:r>
            <w:r>
              <w:rPr>
                <w:rFonts w:ascii="Arial" w:hAnsi="Arial" w:cs="Arial"/>
                <w:sz w:val="24"/>
                <w:szCs w:val="24"/>
              </w:rPr>
              <w:t xml:space="preserve">   </w:t>
            </w:r>
          </w:p>
          <w:p w:rsidR="00F47BEC" w:rsidRDefault="00F47BEC" w:rsidP="00F47BEC">
            <w:pPr>
              <w:tabs>
                <w:tab w:val="left" w:pos="990"/>
                <w:tab w:val="left" w:pos="1350"/>
              </w:tabs>
              <w:spacing w:line="360" w:lineRule="auto"/>
              <w:ind w:left="960"/>
              <w:jc w:val="both"/>
              <w:rPr>
                <w:rFonts w:ascii="Arial" w:hAnsi="Arial" w:cs="Arial"/>
                <w:sz w:val="24"/>
                <w:szCs w:val="24"/>
              </w:rPr>
            </w:pPr>
            <w:r>
              <w:rPr>
                <w:rFonts w:ascii="Arial" w:hAnsi="Arial" w:cs="Arial"/>
                <w:sz w:val="24"/>
                <w:szCs w:val="24"/>
              </w:rPr>
              <w:t xml:space="preserve">               and have</w:t>
            </w:r>
            <w:r w:rsidRPr="007551B2">
              <w:rPr>
                <w:rFonts w:ascii="Arial" w:hAnsi="Arial" w:cs="Arial"/>
                <w:sz w:val="24"/>
                <w:szCs w:val="24"/>
              </w:rPr>
              <w:t xml:space="preserve"> a clean record of service)</w:t>
            </w:r>
          </w:p>
          <w:p w:rsidR="00F47BEC" w:rsidRPr="007551B2" w:rsidRDefault="00F47BEC" w:rsidP="00F47BEC">
            <w:pPr>
              <w:tabs>
                <w:tab w:val="left" w:pos="990"/>
                <w:tab w:val="left" w:pos="1350"/>
              </w:tabs>
              <w:spacing w:line="360" w:lineRule="auto"/>
              <w:ind w:left="960"/>
              <w:jc w:val="both"/>
              <w:rPr>
                <w:rFonts w:ascii="Arial" w:hAnsi="Arial" w:cs="Arial"/>
                <w:sz w:val="24"/>
                <w:szCs w:val="24"/>
              </w:rPr>
            </w:pP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 xml:space="preserve"> iii)</w:t>
            </w:r>
            <w:r w:rsidRPr="007551B2">
              <w:rPr>
                <w:rFonts w:ascii="Arial" w:hAnsi="Arial" w:cs="Arial"/>
                <w:sz w:val="24"/>
                <w:szCs w:val="24"/>
              </w:rPr>
              <w:tab/>
              <w:t xml:space="preserve">Calculating criminals are highly educated, repeat offenders with high levels of   intelligence. During the early part of their career, they honest and begin fraudulent schemes at a later stage in their career life, </w:t>
            </w:r>
            <w:sdt>
              <w:sdtPr>
                <w:rPr>
                  <w:rFonts w:ascii="Arial" w:hAnsi="Arial" w:cs="Arial"/>
                  <w:sz w:val="24"/>
                  <w:szCs w:val="24"/>
                </w:rPr>
                <w:id w:val="433100460"/>
                <w:citation/>
              </w:sdtPr>
              <w:sdtContent>
                <w:r w:rsidRPr="007551B2">
                  <w:rPr>
                    <w:rFonts w:ascii="Arial" w:hAnsi="Arial" w:cs="Arial"/>
                    <w:sz w:val="24"/>
                    <w:szCs w:val="24"/>
                  </w:rPr>
                  <w:fldChar w:fldCharType="begin"/>
                </w:r>
                <w:r w:rsidRPr="007551B2">
                  <w:rPr>
                    <w:rFonts w:ascii="Arial" w:hAnsi="Arial" w:cs="Arial"/>
                    <w:sz w:val="24"/>
                    <w:szCs w:val="24"/>
                  </w:rPr>
                  <w:instrText xml:space="preserve"> CITATION Wie90 \l 1033 </w:instrText>
                </w:r>
                <w:r w:rsidRPr="007551B2">
                  <w:rPr>
                    <w:rFonts w:ascii="Arial" w:hAnsi="Arial" w:cs="Arial"/>
                    <w:sz w:val="24"/>
                    <w:szCs w:val="24"/>
                  </w:rPr>
                  <w:fldChar w:fldCharType="separate"/>
                </w:r>
                <w:r w:rsidRPr="007551B2">
                  <w:rPr>
                    <w:rFonts w:ascii="Arial" w:hAnsi="Arial" w:cs="Arial"/>
                    <w:noProof/>
                    <w:sz w:val="24"/>
                    <w:szCs w:val="24"/>
                  </w:rPr>
                  <w:t>(Wiesbrod, et al., 1990)</w:t>
                </w:r>
                <w:r w:rsidRPr="007551B2">
                  <w:rPr>
                    <w:rFonts w:ascii="Arial" w:hAnsi="Arial" w:cs="Arial"/>
                    <w:sz w:val="24"/>
                    <w:szCs w:val="24"/>
                  </w:rPr>
                  <w:fldChar w:fldCharType="end"/>
                </w:r>
              </w:sdtContent>
            </w:sdt>
            <w:r w:rsidRPr="007551B2">
              <w:rPr>
                <w:rFonts w:ascii="Arial" w:hAnsi="Arial" w:cs="Arial"/>
                <w:sz w:val="24"/>
                <w:szCs w:val="24"/>
              </w:rPr>
              <w:t>.  Calculating criminals do not make independent decisions on their own, they just follow others this is known as the external locus of control.</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 xml:space="preserve"> </w:t>
            </w:r>
            <w:r w:rsidRPr="007551B2">
              <w:rPr>
                <w:rFonts w:ascii="Arial" w:hAnsi="Arial" w:cs="Arial"/>
                <w:sz w:val="24"/>
                <w:szCs w:val="24"/>
              </w:rPr>
              <w:tab/>
              <w:t>The fact that calculating criminals are risk takers and lack a fleeing of anxiety and empathy means that they are more likely to commit fraud that other criminals. These criminals generally want to compete and assert themselves.</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 xml:space="preserve">iv)  Situation dependent criminals are not habitual criminals but pressing financial needs forces them to commit crime while power brokers are individuals who use their wealth, political power or influence in an organisation or community to commit frauds. Situation dependent criminals acts out of desperation and do not intend to do harm so the loss caused by them is likely to be smaller than power broker who can swindle very large sums of funds. </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 xml:space="preserve">Another distinguishing feature is that situation dependent criminals usually hold lower positions in organisation which power brokers are usually very influential in the communities in which they operate </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r>
          </w:p>
          <w:p w:rsidR="00F47BEC"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lastRenderedPageBreak/>
              <w:t xml:space="preserve"> v) The fraud triangle was developed by Dr. D</w:t>
            </w:r>
            <w:r>
              <w:rPr>
                <w:rFonts w:ascii="Arial" w:hAnsi="Arial" w:cs="Arial"/>
                <w:sz w:val="24"/>
                <w:szCs w:val="24"/>
              </w:rPr>
              <w:t>.</w:t>
            </w:r>
            <w:r w:rsidRPr="007551B2">
              <w:rPr>
                <w:rFonts w:ascii="Arial" w:hAnsi="Arial" w:cs="Arial"/>
                <w:sz w:val="24"/>
                <w:szCs w:val="24"/>
              </w:rPr>
              <w:t xml:space="preserve"> Cressey in 1940 and its legs are pressure/motivation, opportunity and rationalization.</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Motivation is the driving force or pressures that propels a fraudster to commit fraud. The fraudster in this case has an un shareable financial need arising from huge debts, drug addiction and participation in expensive games such as soccer bating.</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The second leg is opportunity which implies that a person with a financial need will be in a position to misappropriates company assets without being detected. Opportunity arise where there is no segregation of duties, internal controls are weak, inappropriate management oversight and blind trust on some employees.</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The last leg is rationalisation which represent the justifications made by the fraudster for his illegal actions. One may say, “ I am just borrowing the company and I will return the funds in future”, Another person may say, “ This is a small amount of money, no one is hurt after all I am not like Ben Madoff the swindler”. Managers may say, “I am securing the jobs for many employees...”, when engaging in financial statement fraud.</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vi)  Gwlyn Nettler’s perception of employee lying, cheating and stealing is as follows:-</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If people have experienced failures in their lives, they are likely to cheat</w:t>
            </w:r>
            <w:r w:rsidRPr="007551B2">
              <w:rPr>
                <w:rFonts w:ascii="Arial" w:hAnsi="Arial" w:cs="Arial"/>
                <w:sz w:val="24"/>
                <w:szCs w:val="24"/>
              </w:rPr>
              <w:t>. An example is when a student at University who fails to prepare for the examinations will cheat during the examination. Students who fails to pass examinations might approach employers and higher learning institutions with fake certificates in an attempt to secure rewarding jobs.</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r>
            <w:r w:rsidRPr="007551B2">
              <w:rPr>
                <w:rFonts w:ascii="Arial" w:hAnsi="Arial" w:cs="Arial"/>
                <w:b/>
                <w:sz w:val="24"/>
                <w:szCs w:val="24"/>
              </w:rPr>
              <w:t>People who have a low opinion of themselves and are disliked by others have a high tendency to deceive.</w:t>
            </w:r>
            <w:r w:rsidRPr="007551B2">
              <w:rPr>
                <w:rFonts w:ascii="Arial" w:hAnsi="Arial" w:cs="Arial"/>
                <w:sz w:val="24"/>
                <w:szCs w:val="24"/>
              </w:rPr>
              <w:t xml:space="preserve"> Strong family relationships, membership of societies and professional bodies will reduce the tendency of deceiving as a person will consider what other family members or professional associates will say when they discover the schemes. Those without strong ties with other people are likely to cheat.</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lastRenderedPageBreak/>
              <w:tab/>
            </w:r>
            <w:r w:rsidRPr="007551B2">
              <w:rPr>
                <w:rFonts w:ascii="Arial" w:hAnsi="Arial" w:cs="Arial"/>
                <w:b/>
                <w:sz w:val="24"/>
                <w:szCs w:val="24"/>
              </w:rPr>
              <w:t xml:space="preserve">People will steal and cheat more the easier it is to do so. </w:t>
            </w:r>
            <w:r w:rsidRPr="007551B2">
              <w:rPr>
                <w:rFonts w:ascii="Arial" w:hAnsi="Arial" w:cs="Arial"/>
                <w:sz w:val="24"/>
                <w:szCs w:val="24"/>
              </w:rPr>
              <w:t>Stealing is easier when controls are weak. The greatest deterrent measure to occupational fraud and abuse is to increase the perception of detection. If employees perceive that they will be caught they are unlikely to cheat.</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vii)  Motivations to commit fraud fall under the perceived financial need which others call pressure leg of the fraud triangle. The motivation may be huge gambling debts, which an individual cannot settle using legal income accruing to him. To cover these debts individuals may resort to fraud.</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Desire for a lavish life beyond one’s level of income can be a motivation for fraud. White collar criminals may desire expensive cars, houses and clothes leading them to steal from their employers. The most recognized source or indication of fraud is living beyond means.</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 xml:space="preserve">White criminals may be having legitimate businesses which are operating but facing severe financial challenges forcing the criminals to defraud their organisation in order to support their ailing companies. </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pStyle w:val="ListParagraph"/>
              <w:numPr>
                <w:ilvl w:val="0"/>
                <w:numId w:val="6"/>
              </w:numPr>
              <w:tabs>
                <w:tab w:val="left" w:pos="990"/>
              </w:tabs>
              <w:spacing w:after="160" w:line="360" w:lineRule="auto"/>
              <w:ind w:left="960"/>
              <w:jc w:val="both"/>
              <w:rPr>
                <w:rFonts w:ascii="Arial" w:hAnsi="Arial" w:cs="Arial"/>
                <w:sz w:val="24"/>
                <w:szCs w:val="24"/>
              </w:rPr>
            </w:pPr>
            <w:r w:rsidRPr="007551B2">
              <w:rPr>
                <w:rFonts w:ascii="Arial" w:hAnsi="Arial" w:cs="Arial"/>
                <w:sz w:val="24"/>
                <w:szCs w:val="24"/>
              </w:rPr>
              <w:t>White collar criminals differ from other street criminals in that their offences do not include violence or bodily. White collar criminals are usually celebrated by the community as their violations are</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White collar criminals are usually 30 years and above. This age makes it possible for the fraudster to gain technical skills and experience to commit the offence. On the other hand, other crimes can be committed by all age groups usually those that are young and ignorant such as rape and robbery.</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White collar criminal maintains the appearance of a stable having a stable family. These criminal appear to be very successful in life but in most cases they are mired with debts which will motivate them to commit frauds. Usually this group of people live beyond means.</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tab/>
              <w:t>White collar crimes are committed by persons who hold positions of trust in the organisation. For other street crimes like assaults and robberies this is not a required. Persons who hold positions of trust will become trust violators. The position of trust is also a requirement for white collar criminals to violet or override controls.</w:t>
            </w:r>
          </w:p>
          <w:p w:rsidR="00F47BEC" w:rsidRPr="007551B2" w:rsidRDefault="00F47BEC" w:rsidP="00F47BEC">
            <w:pPr>
              <w:tabs>
                <w:tab w:val="left" w:pos="990"/>
              </w:tabs>
              <w:spacing w:line="360" w:lineRule="auto"/>
              <w:ind w:left="960" w:hanging="450"/>
              <w:jc w:val="both"/>
              <w:rPr>
                <w:rFonts w:ascii="Arial" w:hAnsi="Arial" w:cs="Arial"/>
                <w:sz w:val="24"/>
                <w:szCs w:val="24"/>
              </w:rPr>
            </w:pPr>
            <w:r w:rsidRPr="007551B2">
              <w:rPr>
                <w:rFonts w:ascii="Arial" w:hAnsi="Arial" w:cs="Arial"/>
                <w:sz w:val="24"/>
                <w:szCs w:val="24"/>
              </w:rPr>
              <w:lastRenderedPageBreak/>
              <w:tab/>
              <w:t>White collar crimes also differ from other crimes in that knowledge of accounting systems and prior accounting knowledge is a prerequisite. White collar crimes are usually of a financial nature and beating the financial system of an organisation requires technical finance and accounting knowledge.</w:t>
            </w:r>
          </w:p>
          <w:p w:rsidR="00F47BEC" w:rsidRPr="007551B2" w:rsidRDefault="00F47BEC" w:rsidP="00F47BEC">
            <w:pPr>
              <w:tabs>
                <w:tab w:val="left" w:pos="990"/>
              </w:tabs>
              <w:spacing w:line="360" w:lineRule="auto"/>
              <w:ind w:left="960" w:hanging="450"/>
              <w:jc w:val="both"/>
              <w:rPr>
                <w:rFonts w:ascii="Arial" w:hAnsi="Arial" w:cs="Arial"/>
                <w:sz w:val="24"/>
                <w:szCs w:val="24"/>
              </w:rPr>
            </w:pPr>
          </w:p>
          <w:p w:rsidR="00F47BEC" w:rsidRPr="007551B2" w:rsidRDefault="00F47BEC" w:rsidP="00F47BEC">
            <w:pPr>
              <w:pStyle w:val="ListParagraph"/>
              <w:numPr>
                <w:ilvl w:val="0"/>
                <w:numId w:val="6"/>
              </w:numPr>
              <w:tabs>
                <w:tab w:val="left" w:pos="990"/>
              </w:tabs>
              <w:spacing w:after="160" w:line="360" w:lineRule="auto"/>
              <w:ind w:left="960" w:hanging="630"/>
              <w:jc w:val="both"/>
              <w:rPr>
                <w:rFonts w:ascii="Arial" w:hAnsi="Arial" w:cs="Arial"/>
                <w:sz w:val="24"/>
                <w:szCs w:val="24"/>
              </w:rPr>
            </w:pPr>
            <w:r w:rsidRPr="007551B2">
              <w:rPr>
                <w:rFonts w:ascii="Arial" w:hAnsi="Arial" w:cs="Arial"/>
                <w:sz w:val="24"/>
                <w:szCs w:val="24"/>
              </w:rPr>
              <w:t xml:space="preserve">     Fraud is most common in organisations that have no controls, no trust, no ethical values, no profits and no prospects.</w:t>
            </w: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r w:rsidRPr="007551B2">
              <w:rPr>
                <w:rFonts w:ascii="Arial" w:hAnsi="Arial" w:cs="Arial"/>
                <w:sz w:val="24"/>
                <w:szCs w:val="24"/>
              </w:rPr>
              <w:t>Organisations that have no controls are more prone to fraud than organisations with strong internal control. Any organisation which does not segregate duties is at more risk of fraud. In another organisation with weak controls a manager request funds to purchase stocks, purchases the stocks, receives the stocks from vendors and maintains custody of the assets. These weak controls couples with poor or inappropriate management oversight increase chances of fraud.</w:t>
            </w: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r w:rsidRPr="007551B2">
              <w:rPr>
                <w:rFonts w:ascii="Arial" w:hAnsi="Arial" w:cs="Arial"/>
                <w:sz w:val="24"/>
                <w:szCs w:val="24"/>
              </w:rPr>
              <w:t>Trust is very important in organisations. Employers should trust their employees. If employees are not trusted and they are aware of this perception, they will commit fraud if an opportunity exists. However, trust on employees should not be blind. Trust should go with strong internal controls. On most cases over trusted employees committed fraud cases if controls are weak.</w:t>
            </w: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r w:rsidRPr="007551B2">
              <w:rPr>
                <w:rFonts w:ascii="Arial" w:hAnsi="Arial" w:cs="Arial"/>
                <w:sz w:val="24"/>
                <w:szCs w:val="24"/>
              </w:rPr>
              <w:t>Each organisation should have an ethical code of conduct which is highly respected and adhered to by senior management. Some employees may commit fraud as a result of poor or lack of ethical code and values. When there are no ethical values in an organisation more frauds will be committed</w:t>
            </w: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r w:rsidRPr="007551B2">
              <w:rPr>
                <w:rFonts w:ascii="Arial" w:hAnsi="Arial" w:cs="Arial"/>
                <w:sz w:val="24"/>
                <w:szCs w:val="24"/>
              </w:rPr>
              <w:t>An organisations with no profits is likely to resort to financial statement fraud so as to maintain its business. When profits are low management is more like to prematurely recognize revenue to boast sales. Closing stock can also be overvalued to increase profits. If profits are sufficient management is unlikely to resort to financial statement fraud.</w:t>
            </w:r>
            <w:r w:rsidRPr="007551B2">
              <w:rPr>
                <w:rFonts w:ascii="Arial" w:hAnsi="Arial" w:cs="Arial"/>
                <w:sz w:val="24"/>
                <w:szCs w:val="24"/>
              </w:rPr>
              <w:tab/>
            </w: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p>
          <w:p w:rsidR="00F47BEC" w:rsidRPr="007551B2" w:rsidRDefault="00F47BEC" w:rsidP="00F47BEC">
            <w:pPr>
              <w:pStyle w:val="ListParagraph"/>
              <w:tabs>
                <w:tab w:val="left" w:pos="990"/>
              </w:tabs>
              <w:spacing w:line="360" w:lineRule="auto"/>
              <w:ind w:left="960"/>
              <w:jc w:val="both"/>
              <w:rPr>
                <w:rFonts w:ascii="Arial" w:hAnsi="Arial" w:cs="Arial"/>
                <w:sz w:val="24"/>
                <w:szCs w:val="24"/>
              </w:rPr>
            </w:pPr>
            <w:r w:rsidRPr="007551B2">
              <w:rPr>
                <w:rFonts w:ascii="Arial" w:hAnsi="Arial" w:cs="Arial"/>
                <w:sz w:val="24"/>
                <w:szCs w:val="24"/>
              </w:rPr>
              <w:lastRenderedPageBreak/>
              <w:t>Growth prospects are important at both the individual and organisation   level. If employees perceive that there are growth prospects in an organisation they are unlikely to commit frauds hopping to be promoted in future. At the organizational level if there are no growth prospects companies can trade with the intentions of defrauding others, they buy inventories of credit and sale them at low prices, close shop and disappear with cash. This scheme is known as a burst out schemes.</w:t>
            </w:r>
          </w:p>
          <w:p w:rsidR="00F47BEC" w:rsidRPr="007551B2" w:rsidRDefault="00F47BEC" w:rsidP="00F47BEC">
            <w:pPr>
              <w:spacing w:line="360" w:lineRule="auto"/>
              <w:ind w:left="960"/>
              <w:jc w:val="both"/>
              <w:rPr>
                <w:rFonts w:ascii="Arial" w:hAnsi="Arial" w:cs="Arial"/>
                <w:sz w:val="24"/>
                <w:szCs w:val="24"/>
              </w:rPr>
            </w:pPr>
          </w:p>
          <w:p w:rsidR="00F47BEC" w:rsidRPr="007551B2" w:rsidRDefault="00F47BEC" w:rsidP="00F47BEC">
            <w:pPr>
              <w:spacing w:line="360" w:lineRule="auto"/>
              <w:ind w:left="960"/>
              <w:jc w:val="both"/>
              <w:rPr>
                <w:rFonts w:ascii="Arial" w:hAnsi="Arial" w:cs="Arial"/>
                <w:b/>
                <w:sz w:val="24"/>
                <w:szCs w:val="24"/>
              </w:rPr>
            </w:pPr>
            <w:r w:rsidRPr="007551B2">
              <w:rPr>
                <w:rFonts w:ascii="Arial" w:hAnsi="Arial" w:cs="Arial"/>
                <w:b/>
                <w:sz w:val="24"/>
                <w:szCs w:val="24"/>
              </w:rPr>
              <w:t>Case study</w:t>
            </w:r>
          </w:p>
          <w:p w:rsidR="00F47BEC" w:rsidRPr="007551B2" w:rsidRDefault="00F47BEC" w:rsidP="00F47BEC">
            <w:pPr>
              <w:pStyle w:val="ListParagraph"/>
              <w:numPr>
                <w:ilvl w:val="0"/>
                <w:numId w:val="7"/>
              </w:numPr>
              <w:spacing w:after="160" w:line="360" w:lineRule="auto"/>
              <w:ind w:left="960"/>
              <w:jc w:val="both"/>
              <w:rPr>
                <w:rFonts w:ascii="Arial" w:hAnsi="Arial" w:cs="Arial"/>
                <w:sz w:val="24"/>
                <w:szCs w:val="24"/>
              </w:rPr>
            </w:pPr>
            <w:r w:rsidRPr="007551B2">
              <w:rPr>
                <w:rFonts w:ascii="Arial" w:hAnsi="Arial" w:cs="Arial"/>
                <w:sz w:val="24"/>
                <w:szCs w:val="24"/>
              </w:rPr>
              <w:t>The crime committed by the trader is financial statement fraud. Financial statement fraud is the intentional misrepresentation of the financial affairs of a company through disclosure, omissions or material misstatements to deceive financial statement users. The misstatements made by the trader were intentional.</w:t>
            </w:r>
          </w:p>
          <w:p w:rsidR="00F47BEC" w:rsidRPr="007551B2" w:rsidRDefault="00F47BEC" w:rsidP="00F47BEC">
            <w:pPr>
              <w:pStyle w:val="ListParagraph"/>
              <w:spacing w:line="360" w:lineRule="auto"/>
              <w:ind w:left="960"/>
              <w:jc w:val="both"/>
              <w:rPr>
                <w:rFonts w:ascii="Arial" w:hAnsi="Arial" w:cs="Arial"/>
                <w:sz w:val="24"/>
                <w:szCs w:val="24"/>
              </w:rPr>
            </w:pPr>
          </w:p>
          <w:p w:rsidR="00F47BEC" w:rsidRPr="007551B2" w:rsidRDefault="00F47BEC" w:rsidP="00F47BEC">
            <w:pPr>
              <w:pStyle w:val="ListParagraph"/>
              <w:spacing w:line="360" w:lineRule="auto"/>
              <w:ind w:left="960"/>
              <w:jc w:val="both"/>
              <w:rPr>
                <w:rFonts w:ascii="Arial" w:hAnsi="Arial" w:cs="Arial"/>
                <w:sz w:val="24"/>
                <w:szCs w:val="24"/>
              </w:rPr>
            </w:pPr>
            <w:r w:rsidRPr="007551B2">
              <w:rPr>
                <w:rFonts w:ascii="Arial" w:hAnsi="Arial" w:cs="Arial"/>
                <w:sz w:val="24"/>
                <w:szCs w:val="24"/>
              </w:rPr>
              <w:t xml:space="preserve">The impressive materials display on the trader’s website were intended to deceive customers into thinking that the trader is excellent in the furniture business. The trader might also have recorded fictitious sales to justify the presumed sales but these must have been recorded at deflated prices to evade tax on fake sales. The accounts presented to the tax authorities were not a true reflection of the trader’s business conditions. </w:t>
            </w:r>
          </w:p>
          <w:p w:rsidR="00F47BEC" w:rsidRPr="007551B2" w:rsidRDefault="00F47BEC" w:rsidP="00F47BEC">
            <w:pPr>
              <w:spacing w:line="360" w:lineRule="auto"/>
              <w:ind w:left="960"/>
              <w:jc w:val="both"/>
              <w:rPr>
                <w:rFonts w:ascii="Arial" w:hAnsi="Arial" w:cs="Arial"/>
                <w:sz w:val="24"/>
                <w:szCs w:val="24"/>
              </w:rPr>
            </w:pPr>
          </w:p>
          <w:p w:rsidR="00F47BEC" w:rsidRPr="007551B2" w:rsidRDefault="00F47BEC" w:rsidP="00F47BEC">
            <w:pPr>
              <w:pStyle w:val="ListParagraph"/>
              <w:numPr>
                <w:ilvl w:val="0"/>
                <w:numId w:val="7"/>
              </w:numPr>
              <w:spacing w:after="160" w:line="360" w:lineRule="auto"/>
              <w:ind w:left="960"/>
              <w:jc w:val="both"/>
              <w:rPr>
                <w:rFonts w:ascii="Arial" w:hAnsi="Arial" w:cs="Arial"/>
                <w:sz w:val="24"/>
                <w:szCs w:val="24"/>
              </w:rPr>
            </w:pPr>
            <w:r w:rsidRPr="007551B2">
              <w:rPr>
                <w:rFonts w:ascii="Arial" w:hAnsi="Arial" w:cs="Arial"/>
                <w:sz w:val="24"/>
                <w:szCs w:val="24"/>
              </w:rPr>
              <w:t>An important tool for investigation of fraud cases is to make independent sales dates and amounts confirmation with customers. In the case investigations in this way are frustrated since the trader issues no invoices or just sold goods on cash basis. The accounting transactions for the above transaction will be to debit cash and crediting sales.</w:t>
            </w:r>
          </w:p>
          <w:p w:rsidR="00F47BEC" w:rsidRDefault="00F47BEC" w:rsidP="00F47BEC">
            <w:pPr>
              <w:spacing w:line="360" w:lineRule="auto"/>
              <w:ind w:left="960"/>
              <w:jc w:val="both"/>
              <w:rPr>
                <w:rFonts w:ascii="Arial" w:hAnsi="Arial" w:cs="Arial"/>
                <w:sz w:val="24"/>
                <w:szCs w:val="24"/>
              </w:rPr>
            </w:pPr>
            <w:r w:rsidRPr="007551B2">
              <w:rPr>
                <w:rFonts w:ascii="Arial" w:hAnsi="Arial" w:cs="Arial"/>
                <w:sz w:val="24"/>
                <w:szCs w:val="24"/>
              </w:rPr>
              <w:t>The forensic investigator will have to establish the daily cash register for the period under review or certain mechanisms that may be in use to capture cash sales since small and new traders do not usually use electronic point of sale (POS) devices. The investigations may be used to analyse times when sales were made, the amounts of sales.</w:t>
            </w:r>
          </w:p>
          <w:p w:rsidR="00F47BEC" w:rsidRPr="007551B2" w:rsidRDefault="00F47BEC" w:rsidP="00F47BEC">
            <w:pPr>
              <w:spacing w:line="360" w:lineRule="auto"/>
              <w:ind w:left="960"/>
              <w:jc w:val="both"/>
              <w:rPr>
                <w:rFonts w:ascii="Arial" w:hAnsi="Arial" w:cs="Arial"/>
                <w:sz w:val="24"/>
                <w:szCs w:val="24"/>
              </w:rPr>
            </w:pPr>
          </w:p>
          <w:p w:rsidR="00F47BEC" w:rsidRDefault="00F47BEC" w:rsidP="00F47BEC">
            <w:pPr>
              <w:spacing w:line="360" w:lineRule="auto"/>
              <w:ind w:left="960"/>
              <w:jc w:val="both"/>
              <w:rPr>
                <w:rFonts w:ascii="Arial" w:hAnsi="Arial" w:cs="Arial"/>
                <w:sz w:val="24"/>
                <w:szCs w:val="24"/>
              </w:rPr>
            </w:pPr>
            <w:r w:rsidRPr="007551B2">
              <w:rPr>
                <w:rFonts w:ascii="Arial" w:hAnsi="Arial" w:cs="Arial"/>
                <w:sz w:val="24"/>
                <w:szCs w:val="24"/>
              </w:rPr>
              <w:t xml:space="preserve">The timing of sales can be valuable in exposing fraud schemes by traders. So traders may record false sales during outside business hours or on </w:t>
            </w:r>
            <w:r w:rsidRPr="007551B2">
              <w:rPr>
                <w:rFonts w:ascii="Arial" w:hAnsi="Arial" w:cs="Arial"/>
                <w:sz w:val="24"/>
                <w:szCs w:val="24"/>
              </w:rPr>
              <w:lastRenderedPageBreak/>
              <w:t>weekends when the trader should be closed. Sales patterns may indicate high sales on periods when business was general low.</w:t>
            </w:r>
          </w:p>
          <w:p w:rsidR="00F47BEC" w:rsidRPr="007551B2" w:rsidRDefault="00F47BEC" w:rsidP="00F47BEC">
            <w:pPr>
              <w:spacing w:line="360" w:lineRule="auto"/>
              <w:ind w:left="960"/>
              <w:jc w:val="both"/>
              <w:rPr>
                <w:rFonts w:ascii="Arial" w:hAnsi="Arial" w:cs="Arial"/>
                <w:sz w:val="24"/>
                <w:szCs w:val="24"/>
              </w:rPr>
            </w:pPr>
          </w:p>
          <w:p w:rsidR="00F47BEC" w:rsidRPr="007551B2" w:rsidRDefault="00F47BEC" w:rsidP="00F47BEC">
            <w:pPr>
              <w:spacing w:line="360" w:lineRule="auto"/>
              <w:ind w:left="960"/>
              <w:jc w:val="both"/>
              <w:rPr>
                <w:rFonts w:ascii="Arial" w:hAnsi="Arial" w:cs="Arial"/>
                <w:sz w:val="24"/>
                <w:szCs w:val="24"/>
              </w:rPr>
            </w:pPr>
            <w:r w:rsidRPr="007551B2">
              <w:rPr>
                <w:rFonts w:ascii="Arial" w:hAnsi="Arial" w:cs="Arial"/>
                <w:sz w:val="24"/>
                <w:szCs w:val="24"/>
              </w:rPr>
              <w:t>To major functions that can be undertaken by the fraud examiner are data mining and data analysis. Data mining involves searching large amounts of data to establish any patterns in the data. Data analysis encompasses any statistical tools used to analyse data and to draw conclusions. The forensic investigator should gather as many financial data as possible and run models that can establish red flags for fraud and any trading irregularity.</w:t>
            </w:r>
          </w:p>
          <w:p w:rsidR="00F47BEC" w:rsidRPr="007551B2" w:rsidRDefault="00F47BEC" w:rsidP="00F47BEC">
            <w:pPr>
              <w:spacing w:line="360" w:lineRule="auto"/>
              <w:ind w:left="960"/>
              <w:jc w:val="both"/>
              <w:rPr>
                <w:rFonts w:ascii="Arial" w:hAnsi="Arial" w:cs="Arial"/>
                <w:sz w:val="24"/>
                <w:szCs w:val="24"/>
              </w:rPr>
            </w:pPr>
          </w:p>
          <w:p w:rsidR="00F47BEC" w:rsidRDefault="00F47BEC" w:rsidP="00F47BEC">
            <w:pPr>
              <w:spacing w:line="360" w:lineRule="auto"/>
              <w:ind w:left="960"/>
              <w:jc w:val="both"/>
              <w:rPr>
                <w:rFonts w:ascii="Arial" w:hAnsi="Arial" w:cs="Arial"/>
                <w:sz w:val="24"/>
                <w:szCs w:val="24"/>
              </w:rPr>
            </w:pPr>
            <w:r w:rsidRPr="007551B2">
              <w:rPr>
                <w:rFonts w:ascii="Arial" w:hAnsi="Arial" w:cs="Arial"/>
                <w:sz w:val="24"/>
                <w:szCs w:val="24"/>
              </w:rPr>
              <w:t xml:space="preserve">Another useful tool that can be used to analyse sales amounts is the Benford’s Law analysis developed by Frank Benford in the 1920. This analysis however works for natural numbers such as sales amounts on a given day. The law state that on a scale of digits (1-9) other numbers show up more than other numbers. For example, (1-3) show up more than (8-9). If violations for this law are detected they can be analyzed further using other tools. </w:t>
            </w:r>
          </w:p>
          <w:p w:rsidR="00F47BEC" w:rsidRDefault="00F47BEC" w:rsidP="00F47BEC">
            <w:pPr>
              <w:spacing w:line="360" w:lineRule="auto"/>
              <w:ind w:left="960"/>
              <w:jc w:val="both"/>
              <w:rPr>
                <w:rFonts w:ascii="Arial" w:hAnsi="Arial" w:cs="Arial"/>
                <w:sz w:val="24"/>
                <w:szCs w:val="24"/>
              </w:rPr>
            </w:pPr>
          </w:p>
          <w:p w:rsidR="00F47BEC" w:rsidRPr="007551B2" w:rsidRDefault="00F47BEC" w:rsidP="00F47BEC">
            <w:pPr>
              <w:spacing w:line="360" w:lineRule="auto"/>
              <w:ind w:left="960"/>
              <w:jc w:val="both"/>
              <w:rPr>
                <w:rFonts w:ascii="Arial" w:hAnsi="Arial" w:cs="Arial"/>
                <w:sz w:val="24"/>
                <w:szCs w:val="24"/>
              </w:rPr>
            </w:pPr>
          </w:p>
          <w:p w:rsidR="00F47BEC" w:rsidRPr="007551B2" w:rsidRDefault="00F47BEC" w:rsidP="00F47BEC">
            <w:pPr>
              <w:spacing w:line="360" w:lineRule="auto"/>
              <w:ind w:left="960"/>
              <w:jc w:val="both"/>
              <w:rPr>
                <w:rFonts w:ascii="Arial" w:hAnsi="Arial" w:cs="Arial"/>
                <w:sz w:val="24"/>
                <w:szCs w:val="24"/>
              </w:rPr>
            </w:pPr>
          </w:p>
          <w:sdt>
            <w:sdtPr>
              <w:rPr>
                <w:rFonts w:ascii="Arial" w:eastAsiaTheme="minorHAnsi" w:hAnsi="Arial" w:cs="Arial"/>
                <w:color w:val="auto"/>
                <w:sz w:val="24"/>
                <w:szCs w:val="24"/>
              </w:rPr>
              <w:id w:val="-1350485230"/>
              <w:docPartObj>
                <w:docPartGallery w:val="Bibliographies"/>
                <w:docPartUnique/>
              </w:docPartObj>
            </w:sdtPr>
            <w:sdtContent>
              <w:p w:rsidR="00F47BEC" w:rsidRPr="00F47BEC" w:rsidRDefault="00F47BEC" w:rsidP="00F47BEC">
                <w:pPr>
                  <w:pStyle w:val="Heading1"/>
                  <w:spacing w:line="360" w:lineRule="auto"/>
                  <w:ind w:left="960"/>
                  <w:outlineLvl w:val="0"/>
                  <w:rPr>
                    <w:rFonts w:ascii="Arial" w:hAnsi="Arial" w:cs="Arial"/>
                    <w:b/>
                    <w:color w:val="auto"/>
                    <w:sz w:val="24"/>
                    <w:szCs w:val="24"/>
                  </w:rPr>
                </w:pPr>
                <w:r w:rsidRPr="00F47BEC">
                  <w:rPr>
                    <w:rFonts w:ascii="Arial" w:hAnsi="Arial" w:cs="Arial"/>
                    <w:b/>
                    <w:color w:val="auto"/>
                    <w:sz w:val="24"/>
                    <w:szCs w:val="24"/>
                  </w:rPr>
                  <w:t>References</w:t>
                </w:r>
              </w:p>
              <w:sdt>
                <w:sdtPr>
                  <w:rPr>
                    <w:rFonts w:ascii="Arial" w:hAnsi="Arial" w:cs="Arial"/>
                    <w:sz w:val="24"/>
                    <w:szCs w:val="24"/>
                  </w:rPr>
                  <w:id w:val="-573587230"/>
                  <w:bibliography/>
                </w:sdtPr>
                <w:sdtContent>
                  <w:p w:rsidR="00F47BEC" w:rsidRPr="007551B2" w:rsidRDefault="00F47BEC" w:rsidP="00F47BEC">
                    <w:pPr>
                      <w:pStyle w:val="Bibliography"/>
                      <w:spacing w:line="360" w:lineRule="auto"/>
                      <w:ind w:left="960"/>
                      <w:rPr>
                        <w:rFonts w:ascii="Arial" w:hAnsi="Arial" w:cs="Arial"/>
                        <w:noProof/>
                        <w:sz w:val="24"/>
                        <w:szCs w:val="24"/>
                      </w:rPr>
                    </w:pPr>
                    <w:r w:rsidRPr="007551B2">
                      <w:rPr>
                        <w:rFonts w:ascii="Arial" w:hAnsi="Arial" w:cs="Arial"/>
                        <w:sz w:val="24"/>
                        <w:szCs w:val="24"/>
                      </w:rPr>
                      <w:fldChar w:fldCharType="begin"/>
                    </w:r>
                    <w:r w:rsidRPr="007551B2">
                      <w:rPr>
                        <w:rFonts w:ascii="Arial" w:hAnsi="Arial" w:cs="Arial"/>
                        <w:sz w:val="24"/>
                        <w:szCs w:val="24"/>
                      </w:rPr>
                      <w:instrText xml:space="preserve"> BIBLIOGRAPHY </w:instrText>
                    </w:r>
                    <w:r w:rsidRPr="007551B2">
                      <w:rPr>
                        <w:rFonts w:ascii="Arial" w:hAnsi="Arial" w:cs="Arial"/>
                        <w:sz w:val="24"/>
                        <w:szCs w:val="24"/>
                      </w:rPr>
                      <w:fldChar w:fldCharType="separate"/>
                    </w:r>
                    <w:r w:rsidRPr="007551B2">
                      <w:rPr>
                        <w:rFonts w:ascii="Arial" w:hAnsi="Arial" w:cs="Arial"/>
                        <w:noProof/>
                        <w:sz w:val="24"/>
                        <w:szCs w:val="24"/>
                      </w:rPr>
                      <w:t xml:space="preserve">ACFE, 2015. </w:t>
                    </w:r>
                    <w:r w:rsidRPr="007551B2">
                      <w:rPr>
                        <w:rFonts w:ascii="Arial" w:hAnsi="Arial" w:cs="Arial"/>
                        <w:i/>
                        <w:iCs/>
                        <w:noProof/>
                        <w:sz w:val="24"/>
                        <w:szCs w:val="24"/>
                      </w:rPr>
                      <w:t xml:space="preserve">Association of Certified Fraud Examiners. </w:t>
                    </w:r>
                    <w:r w:rsidRPr="007551B2">
                      <w:rPr>
                        <w:rFonts w:ascii="Arial" w:hAnsi="Arial" w:cs="Arial"/>
                        <w:noProof/>
                        <w:sz w:val="24"/>
                        <w:szCs w:val="24"/>
                      </w:rPr>
                      <w:t xml:space="preserve">[Online] </w:t>
                    </w:r>
                    <w:r w:rsidRPr="007551B2">
                      <w:rPr>
                        <w:rFonts w:ascii="Arial" w:hAnsi="Arial" w:cs="Arial"/>
                        <w:noProof/>
                        <w:sz w:val="24"/>
                        <w:szCs w:val="24"/>
                      </w:rPr>
                      <w:br/>
                      <w:t xml:space="preserve">Available at: </w:t>
                    </w:r>
                    <w:r w:rsidRPr="007551B2">
                      <w:rPr>
                        <w:rFonts w:ascii="Arial" w:hAnsi="Arial" w:cs="Arial"/>
                        <w:noProof/>
                        <w:sz w:val="24"/>
                        <w:szCs w:val="24"/>
                        <w:u w:val="single"/>
                      </w:rPr>
                      <w:t>http://www.acfe.com/rttn-download-2014.aspx</w:t>
                    </w:r>
                    <w:r w:rsidRPr="007551B2">
                      <w:rPr>
                        <w:rFonts w:ascii="Arial" w:hAnsi="Arial" w:cs="Arial"/>
                        <w:noProof/>
                        <w:sz w:val="24"/>
                        <w:szCs w:val="24"/>
                      </w:rPr>
                      <w:br/>
                      <w:t>[Accessed 7 March 2016].</w:t>
                    </w:r>
                  </w:p>
                  <w:p w:rsidR="00F47BEC" w:rsidRPr="007551B2" w:rsidRDefault="00F47BEC" w:rsidP="00F47BEC">
                    <w:pPr>
                      <w:pStyle w:val="Bibliography"/>
                      <w:spacing w:line="360" w:lineRule="auto"/>
                      <w:ind w:left="960"/>
                      <w:rPr>
                        <w:rFonts w:ascii="Arial" w:hAnsi="Arial" w:cs="Arial"/>
                        <w:noProof/>
                        <w:sz w:val="24"/>
                        <w:szCs w:val="24"/>
                      </w:rPr>
                    </w:pPr>
                    <w:r w:rsidRPr="007551B2">
                      <w:rPr>
                        <w:rFonts w:ascii="Arial" w:hAnsi="Arial" w:cs="Arial"/>
                        <w:noProof/>
                        <w:sz w:val="24"/>
                        <w:szCs w:val="24"/>
                      </w:rPr>
                      <w:t xml:space="preserve">Wiesbrod, D., Chayet, F. E. &amp; Waring, E. J., 1990. White Collar Crine and Criminal Careers: Some Preliminary Findings. </w:t>
                    </w:r>
                    <w:r w:rsidRPr="007551B2">
                      <w:rPr>
                        <w:rFonts w:ascii="Arial" w:hAnsi="Arial" w:cs="Arial"/>
                        <w:i/>
                        <w:iCs/>
                        <w:noProof/>
                        <w:sz w:val="24"/>
                        <w:szCs w:val="24"/>
                      </w:rPr>
                      <w:t xml:space="preserve">Crime and Delinquency, </w:t>
                    </w:r>
                    <w:r w:rsidRPr="007551B2">
                      <w:rPr>
                        <w:rFonts w:ascii="Arial" w:hAnsi="Arial" w:cs="Arial"/>
                        <w:noProof/>
                        <w:sz w:val="24"/>
                        <w:szCs w:val="24"/>
                      </w:rPr>
                      <w:t>36(3), pp. 342-355.</w:t>
                    </w:r>
                  </w:p>
                  <w:p w:rsidR="00F47BEC" w:rsidRPr="007551B2" w:rsidRDefault="00F47BEC" w:rsidP="00F47BEC">
                    <w:pPr>
                      <w:spacing w:line="360" w:lineRule="auto"/>
                      <w:ind w:left="960"/>
                      <w:rPr>
                        <w:rFonts w:ascii="Arial" w:hAnsi="Arial" w:cs="Arial"/>
                        <w:sz w:val="24"/>
                        <w:szCs w:val="24"/>
                      </w:rPr>
                    </w:pPr>
                    <w:r w:rsidRPr="007551B2">
                      <w:rPr>
                        <w:rFonts w:ascii="Arial" w:hAnsi="Arial" w:cs="Arial"/>
                        <w:b/>
                        <w:bCs/>
                        <w:noProof/>
                        <w:sz w:val="24"/>
                        <w:szCs w:val="24"/>
                      </w:rPr>
                      <w:fldChar w:fldCharType="end"/>
                    </w:r>
                  </w:p>
                </w:sdtContent>
              </w:sdt>
            </w:sdtContent>
          </w:sdt>
          <w:p w:rsidR="00F47BEC" w:rsidRPr="007551B2" w:rsidRDefault="00F47BEC" w:rsidP="00F47BEC">
            <w:pPr>
              <w:spacing w:line="360" w:lineRule="auto"/>
              <w:ind w:left="960"/>
              <w:jc w:val="both"/>
              <w:rPr>
                <w:rFonts w:ascii="Arial" w:hAnsi="Arial" w:cs="Arial"/>
                <w:sz w:val="24"/>
                <w:szCs w:val="24"/>
              </w:rPr>
            </w:pPr>
          </w:p>
          <w:p w:rsidR="00CC2FB3" w:rsidRDefault="00CC2FB3" w:rsidP="00F47BEC">
            <w:pPr>
              <w:ind w:left="960"/>
              <w:rPr>
                <w:b/>
              </w:rPr>
            </w:pPr>
          </w:p>
          <w:p w:rsidR="00F47BEC" w:rsidRDefault="00F47BEC" w:rsidP="00F47BEC">
            <w:pPr>
              <w:ind w:left="960"/>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2730" w:rsidP="00A851DA">
            <w:pPr>
              <w:rPr>
                <w:rFonts w:cs="Bliss-Regular"/>
                <w:color w:val="000000"/>
              </w:rPr>
            </w:pPr>
            <w:r>
              <w:rPr>
                <w:rFonts w:cs="Bliss-Regular"/>
                <w:color w:val="000000"/>
              </w:rPr>
              <w:t>09/03/16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0E4" w:rsidRDefault="001B20E4" w:rsidP="00CB4D0A">
      <w:pPr>
        <w:spacing w:after="0" w:line="240" w:lineRule="auto"/>
      </w:pPr>
      <w:r>
        <w:separator/>
      </w:r>
    </w:p>
  </w:endnote>
  <w:endnote w:type="continuationSeparator" w:id="0">
    <w:p w:rsidR="001B20E4" w:rsidRDefault="001B20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0E4" w:rsidRDefault="001B20E4" w:rsidP="00CB4D0A">
      <w:pPr>
        <w:spacing w:after="0" w:line="240" w:lineRule="auto"/>
      </w:pPr>
      <w:r>
        <w:separator/>
      </w:r>
    </w:p>
  </w:footnote>
  <w:footnote w:type="continuationSeparator" w:id="0">
    <w:p w:rsidR="001B20E4" w:rsidRDefault="001B20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D37BC"/>
    <w:multiLevelType w:val="hybridMultilevel"/>
    <w:tmpl w:val="583A4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1378C4"/>
    <w:multiLevelType w:val="hybridMultilevel"/>
    <w:tmpl w:val="E10AC3BC"/>
    <w:lvl w:ilvl="0" w:tplc="BD108A7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B20E4"/>
    <w:rsid w:val="001F0481"/>
    <w:rsid w:val="00200C92"/>
    <w:rsid w:val="0020451E"/>
    <w:rsid w:val="00206B9D"/>
    <w:rsid w:val="0023259C"/>
    <w:rsid w:val="00264580"/>
    <w:rsid w:val="002B0BD7"/>
    <w:rsid w:val="002B573D"/>
    <w:rsid w:val="002C5CB2"/>
    <w:rsid w:val="002F779F"/>
    <w:rsid w:val="003121C2"/>
    <w:rsid w:val="00371885"/>
    <w:rsid w:val="003E2B87"/>
    <w:rsid w:val="00402786"/>
    <w:rsid w:val="00405895"/>
    <w:rsid w:val="004058DF"/>
    <w:rsid w:val="00412730"/>
    <w:rsid w:val="00443E6F"/>
    <w:rsid w:val="00486F1A"/>
    <w:rsid w:val="00490CB9"/>
    <w:rsid w:val="004A2CE2"/>
    <w:rsid w:val="004B114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B3A"/>
    <w:rsid w:val="008D55A2"/>
    <w:rsid w:val="0093383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101E"/>
    <w:rsid w:val="00BF2017"/>
    <w:rsid w:val="00C03577"/>
    <w:rsid w:val="00C53029"/>
    <w:rsid w:val="00C65FEA"/>
    <w:rsid w:val="00CA0AC2"/>
    <w:rsid w:val="00CB4D0A"/>
    <w:rsid w:val="00CC2FB3"/>
    <w:rsid w:val="00CC575A"/>
    <w:rsid w:val="00CF123B"/>
    <w:rsid w:val="00D039AC"/>
    <w:rsid w:val="00D427DE"/>
    <w:rsid w:val="00D5587D"/>
    <w:rsid w:val="00D707CC"/>
    <w:rsid w:val="00D821FE"/>
    <w:rsid w:val="00D96108"/>
    <w:rsid w:val="00DB0793"/>
    <w:rsid w:val="00E00821"/>
    <w:rsid w:val="00E04DB4"/>
    <w:rsid w:val="00E1331A"/>
    <w:rsid w:val="00E30679"/>
    <w:rsid w:val="00E4597D"/>
    <w:rsid w:val="00E54832"/>
    <w:rsid w:val="00E56A90"/>
    <w:rsid w:val="00E641CC"/>
    <w:rsid w:val="00EA30AB"/>
    <w:rsid w:val="00EB3925"/>
    <w:rsid w:val="00F47BE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8EA32"/>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BA630-B7F0-45FE-BA8D-D81AF70A4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8</Pages>
  <Words>1973</Words>
  <Characters>11249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10</cp:revision>
  <dcterms:created xsi:type="dcterms:W3CDTF">2016-03-03T04:47:00Z</dcterms:created>
  <dcterms:modified xsi:type="dcterms:W3CDTF">2016-03-09T19:38:00Z</dcterms:modified>
</cp:coreProperties>
</file>