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D101E"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8"/>
        <w:gridCol w:w="6488"/>
      </w:tblGrid>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sidRPr="00D96108">
              <w:rPr>
                <w:rFonts w:ascii="Arial" w:hAnsi="Arial" w:cs="Arial"/>
              </w:rPr>
              <w:t>Aleck Mandivengerei</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D96108" w:rsidRDefault="00D96108">
            <w:pPr>
              <w:pStyle w:val="Default"/>
              <w:rPr>
                <w:rFonts w:ascii="Arial" w:hAnsi="Arial" w:cs="Arial"/>
              </w:rPr>
            </w:pPr>
            <w:r>
              <w:rPr>
                <w:rFonts w:ascii="Arial" w:hAnsi="Arial" w:cs="Arial"/>
              </w:rPr>
              <w:t>1674</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pStyle w:val="Default"/>
              <w:rPr>
                <w:rFonts w:ascii="Arial" w:hAnsi="Arial" w:cs="Arial"/>
              </w:rPr>
            </w:pPr>
            <w:r>
              <w:rPr>
                <w:rFonts w:ascii="Arial" w:hAnsi="Arial" w:cs="Arial"/>
              </w:rPr>
              <w:t>Diploma in Forensic Accounting</w:t>
            </w:r>
          </w:p>
        </w:tc>
      </w:tr>
      <w:tr w:rsidR="00A851DA" w:rsidRPr="00D96108"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D96108" w:rsidRDefault="00A851DA">
            <w:pPr>
              <w:rPr>
                <w:rFonts w:ascii="Arial" w:hAnsi="Arial" w:cs="Arial"/>
                <w:b/>
                <w:color w:val="002060"/>
                <w:sz w:val="24"/>
                <w:szCs w:val="24"/>
              </w:rPr>
            </w:pPr>
            <w:r w:rsidRPr="00D96108">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D96108" w:rsidRDefault="00D96108">
            <w:pPr>
              <w:rPr>
                <w:rFonts w:ascii="Arial" w:hAnsi="Arial" w:cs="Arial"/>
                <w:sz w:val="24"/>
                <w:szCs w:val="24"/>
              </w:rPr>
            </w:pPr>
            <w:r>
              <w:rPr>
                <w:rFonts w:ascii="Arial" w:hAnsi="Arial" w:cs="Arial"/>
                <w:sz w:val="24"/>
                <w:szCs w:val="24"/>
              </w:rPr>
              <w:t>02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F2017" w:rsidRDefault="00BF2017" w:rsidP="00A851DA">
            <w:pPr>
              <w:rPr>
                <w:rFonts w:ascii="Arial" w:hAnsi="Arial" w:cs="Arial"/>
                <w:sz w:val="24"/>
                <w:szCs w:val="24"/>
              </w:rPr>
            </w:pPr>
          </w:p>
          <w:p w:rsidR="00BF2017" w:rsidRDefault="00BF2017" w:rsidP="00BF2017">
            <w:pPr>
              <w:pStyle w:val="ListParagraph"/>
              <w:numPr>
                <w:ilvl w:val="0"/>
                <w:numId w:val="2"/>
              </w:numPr>
              <w:spacing w:after="160" w:line="360" w:lineRule="auto"/>
              <w:jc w:val="both"/>
              <w:rPr>
                <w:rFonts w:ascii="Arial" w:hAnsi="Arial" w:cs="Arial"/>
                <w:sz w:val="24"/>
                <w:szCs w:val="24"/>
              </w:rPr>
            </w:pPr>
            <w:r w:rsidRPr="00307365">
              <w:rPr>
                <w:rFonts w:ascii="Arial" w:hAnsi="Arial" w:cs="Arial"/>
                <w:sz w:val="24"/>
                <w:szCs w:val="24"/>
              </w:rPr>
              <w:t xml:space="preserve">i)   Criminal activities affect national, regional and international economies to a large extent. </w:t>
            </w:r>
            <w:r>
              <w:rPr>
                <w:rFonts w:ascii="Arial" w:hAnsi="Arial" w:cs="Arial"/>
                <w:sz w:val="24"/>
                <w:szCs w:val="24"/>
              </w:rPr>
              <w:t xml:space="preserve">The </w:t>
            </w:r>
            <w:r w:rsidRPr="00307365">
              <w:rPr>
                <w:rFonts w:ascii="Arial" w:hAnsi="Arial" w:cs="Arial"/>
                <w:sz w:val="24"/>
                <w:szCs w:val="24"/>
              </w:rPr>
              <w:t>presence of crime in a country reduc</w:t>
            </w:r>
            <w:r>
              <w:rPr>
                <w:rFonts w:ascii="Arial" w:hAnsi="Arial" w:cs="Arial"/>
                <w:sz w:val="24"/>
                <w:szCs w:val="24"/>
              </w:rPr>
              <w:t xml:space="preserve">es the economic activities in that </w:t>
            </w:r>
            <w:r w:rsidRPr="00307365">
              <w:rPr>
                <w:rFonts w:ascii="Arial" w:hAnsi="Arial" w:cs="Arial"/>
                <w:sz w:val="24"/>
                <w:szCs w:val="24"/>
              </w:rPr>
              <w:t xml:space="preserve">country. If </w:t>
            </w:r>
            <w:r>
              <w:rPr>
                <w:rFonts w:ascii="Arial" w:hAnsi="Arial" w:cs="Arial"/>
                <w:sz w:val="24"/>
                <w:szCs w:val="24"/>
              </w:rPr>
              <w:t xml:space="preserve">crimes targeting foreigners are high in Zimbabwe tourists will not visit the Victoria Falls which is one of the seven world wonders. Business in Victoria Falls and tourist incomes will be reduced. </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 xml:space="preserve"> Crime also acts as a deterrent factor to economic development in that the presence of crime discourages both foreign and domestic investments. Investors are not willing to invest in countries where loss and default probability risk is high or where business can be delayed by litigations involving company employees and officers.</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On the other hand, crimes move business and economic activity from one country or city to another.  For example, if crime is high in Norwich than in Bristol, economic activity may be moved from Norwich to Bristol. Lawlessness in Zimbabwe may shift business from Zimbabwe to South Africa.</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lastRenderedPageBreak/>
              <w:t>ii)  The costs of crime include cost of maintaining a police department, judiciary system and lost economic activity.</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As a result of crime each nation has a police service/force. Costs of maintaining a police force include training police officers, salaries members of the police force and building of Police stations and residential camps. For example, in Zimbabwe, the costs of maintaining the police force is higher than any other government department. This cost could have been used for developing national education systems, hospitals and roads for the benefit of the community and taxpayers if crime was non-existent.</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Those arrested for various crimes will have to be tried at a competent court with magistrates/judges, prosecutors, state lawyers and witnesses. The welfare of the above persons, building of courts, enacting acts of parliament and salaries of judicial workers is a cost to the nation from tax payers’ funds. Those convicted of various crimes will be jailed in prisons. Each country had a separate department of prison and correctional services which must be maintained by the state. The inmates also require clothes and food and shelter while serving their jail terms.</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Crime also disrupts economic activity in that business facing serious litigations may suspend operations until the outstanding issues have been resolved. Witnesses and complainants attending courts will not be doing any productive work for the nation during trial and investigation periods. Inmates sentenced in jail might also have contributed economically to the national output. Jailed inmates may be scientists, artisans and engineers who could have contributed significantly to the national economic output. Crime here is seen to reduce economic activity which is a cost to the economy.</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 xml:space="preserve">iii)  Arson can be defined as the unlawful and intentional burning of another person’s property resulting in the damage to the property. The motive for burning the property may be to destroy evidence, to kill the occupants inside or to fix the owner. An arsonist (one who commits the crime of arson) may set fire on own property in order to get insurance compensation. However, in </w:t>
            </w:r>
            <w:r>
              <w:rPr>
                <w:rFonts w:ascii="Arial" w:hAnsi="Arial" w:cs="Arial"/>
                <w:sz w:val="24"/>
                <w:szCs w:val="24"/>
              </w:rPr>
              <w:lastRenderedPageBreak/>
              <w:t>some common law jurisdiction the destruction of own property is not classified as arson.</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iv) Money laundering can be defined as the any process aimed at disguising illegal assets as genuine assets.  Money laundering is the disguising the source, origin, nature, location and disposition of property acquired from criminal activity, Association of Certified Fraud Examiners,</w:t>
            </w:r>
            <w:sdt>
              <w:sdtPr>
                <w:rPr>
                  <w:rFonts w:ascii="Arial" w:hAnsi="Arial" w:cs="Arial"/>
                  <w:sz w:val="24"/>
                  <w:szCs w:val="24"/>
                </w:rPr>
                <w:id w:val="-2141713133"/>
                <w:citation/>
              </w:sdtPr>
              <w:sdtContent>
                <w:r>
                  <w:rPr>
                    <w:rFonts w:ascii="Arial" w:hAnsi="Arial" w:cs="Arial"/>
                    <w:sz w:val="24"/>
                    <w:szCs w:val="24"/>
                  </w:rPr>
                  <w:fldChar w:fldCharType="begin"/>
                </w:r>
                <w:r>
                  <w:rPr>
                    <w:rFonts w:ascii="Arial" w:hAnsi="Arial" w:cs="Arial"/>
                    <w:sz w:val="24"/>
                    <w:szCs w:val="24"/>
                  </w:rPr>
                  <w:instrText xml:space="preserve"> CITATION ACF151 \l 1033 </w:instrText>
                </w:r>
                <w:r>
                  <w:rPr>
                    <w:rFonts w:ascii="Arial" w:hAnsi="Arial" w:cs="Arial"/>
                    <w:sz w:val="24"/>
                    <w:szCs w:val="24"/>
                  </w:rPr>
                  <w:fldChar w:fldCharType="separate"/>
                </w:r>
                <w:r>
                  <w:rPr>
                    <w:rFonts w:ascii="Arial" w:hAnsi="Arial" w:cs="Arial"/>
                    <w:noProof/>
                    <w:sz w:val="24"/>
                    <w:szCs w:val="24"/>
                  </w:rPr>
                  <w:t xml:space="preserve"> </w:t>
                </w:r>
                <w:r w:rsidRPr="003963AE">
                  <w:rPr>
                    <w:rFonts w:ascii="Arial" w:hAnsi="Arial" w:cs="Arial"/>
                    <w:noProof/>
                    <w:sz w:val="24"/>
                    <w:szCs w:val="24"/>
                  </w:rPr>
                  <w:t>(ACFE, 2015)</w:t>
                </w:r>
                <w:r>
                  <w:rPr>
                    <w:rFonts w:ascii="Arial" w:hAnsi="Arial" w:cs="Arial"/>
                    <w:sz w:val="24"/>
                    <w:szCs w:val="24"/>
                  </w:rPr>
                  <w:fldChar w:fldCharType="end"/>
                </w:r>
              </w:sdtContent>
            </w:sdt>
            <w:r>
              <w:rPr>
                <w:rFonts w:ascii="Arial" w:hAnsi="Arial" w:cs="Arial"/>
                <w:sz w:val="24"/>
                <w:szCs w:val="24"/>
              </w:rPr>
              <w:t xml:space="preserve">. </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 xml:space="preserve">The </w:t>
            </w:r>
            <w:r>
              <w:rPr>
                <w:rFonts w:ascii="Arial" w:hAnsi="Arial" w:cs="Arial"/>
                <w:sz w:val="24"/>
                <w:szCs w:val="24"/>
              </w:rPr>
              <w:t>ACFE’s definition</w:t>
            </w:r>
            <w:r>
              <w:rPr>
                <w:rFonts w:ascii="Arial" w:hAnsi="Arial" w:cs="Arial"/>
                <w:sz w:val="24"/>
                <w:szCs w:val="24"/>
              </w:rPr>
              <w:t xml:space="preserve"> of money laundering is derived from the recognized international setter for anti-money laundering efforts which is known as the Financial Action Task Force on Money Laundering (FATF). The process of money laundering can be classified into three stages which are placement, layering and integration in that order. </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 xml:space="preserve">Placement is the first stage of money laundering in which the launderer introduces the illicit funds into the financial system and then the next stage will be to design numerous complex financial transactions which confuses the audit trail preventing detection and this is known as layering. The last stage is integration and occurs when the launderer integrates the money back into the financial system in a way that makes it appear to be from a legitimate business undertaking. </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spacing w:line="360" w:lineRule="auto"/>
              <w:jc w:val="both"/>
              <w:rPr>
                <w:rFonts w:ascii="Arial" w:hAnsi="Arial" w:cs="Arial"/>
                <w:sz w:val="24"/>
                <w:szCs w:val="24"/>
              </w:rPr>
            </w:pPr>
            <w:r>
              <w:rPr>
                <w:rFonts w:ascii="Arial" w:hAnsi="Arial" w:cs="Arial"/>
                <w:sz w:val="24"/>
                <w:szCs w:val="24"/>
              </w:rPr>
              <w:t>Activities which can encompass money laundering include:</w:t>
            </w:r>
          </w:p>
          <w:p w:rsidR="00BF2017" w:rsidRDefault="00BF2017" w:rsidP="00BF2017">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Operating a front business preferably restaurants and casinos which are very profitable but with little or no business activity.</w:t>
            </w:r>
          </w:p>
          <w:p w:rsidR="00BF2017" w:rsidRDefault="00BF2017" w:rsidP="00BF2017">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Overstating reported revenues and expenses to cover up for unexplained income into the business. Fictitious expenses are used to reduce the tax burden from the laundered receipts.</w:t>
            </w:r>
          </w:p>
          <w:p w:rsidR="00BF2017" w:rsidRDefault="00BF2017" w:rsidP="00BF2017">
            <w:pPr>
              <w:pStyle w:val="ListParagraph"/>
              <w:numPr>
                <w:ilvl w:val="0"/>
                <w:numId w:val="3"/>
              </w:numPr>
              <w:spacing w:after="160" w:line="360" w:lineRule="auto"/>
              <w:jc w:val="both"/>
              <w:rPr>
                <w:rFonts w:ascii="Arial" w:hAnsi="Arial" w:cs="Arial"/>
                <w:sz w:val="24"/>
                <w:szCs w:val="24"/>
              </w:rPr>
            </w:pPr>
            <w:r>
              <w:rPr>
                <w:rFonts w:ascii="Arial" w:hAnsi="Arial" w:cs="Arial"/>
                <w:sz w:val="24"/>
                <w:szCs w:val="24"/>
              </w:rPr>
              <w:t>Making numerous deposits slightly below the reporting threshold. For example, in Zimbabwe the reporting threshold is now US$10, 000.00. A launderer may make more than 5 deposits on a particular day of about US$9, 500.00.  This is also known as smurfing.</w:t>
            </w:r>
          </w:p>
          <w:p w:rsidR="00BF2017" w:rsidRDefault="00BF2017" w:rsidP="00BF2017">
            <w:pPr>
              <w:pStyle w:val="ListParagraph"/>
              <w:spacing w:after="160" w:line="360" w:lineRule="auto"/>
              <w:ind w:left="1440"/>
              <w:jc w:val="both"/>
              <w:rPr>
                <w:rFonts w:ascii="Arial" w:hAnsi="Arial" w:cs="Arial"/>
                <w:sz w:val="24"/>
                <w:szCs w:val="24"/>
              </w:rPr>
            </w:pPr>
          </w:p>
          <w:p w:rsidR="00BF2017" w:rsidRDefault="00BF2017" w:rsidP="00BF2017">
            <w:pPr>
              <w:pStyle w:val="ListParagraph"/>
              <w:spacing w:line="360" w:lineRule="auto"/>
              <w:ind w:left="1440"/>
              <w:jc w:val="both"/>
              <w:rPr>
                <w:rFonts w:ascii="Arial" w:hAnsi="Arial" w:cs="Arial"/>
                <w:sz w:val="24"/>
                <w:szCs w:val="24"/>
              </w:rPr>
            </w:pPr>
          </w:p>
          <w:p w:rsidR="00BF2017" w:rsidRDefault="00BF2017" w:rsidP="00BF2017">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lastRenderedPageBreak/>
              <w:t>Embezzlement occurs when property belonging to another person is wrongfully taken or converted by a person who had lawful custody of the money. An example is when a church treasurer who has lawful custody of church funds take away a portion of the funds for personal use knowing that all the money from all projects will not be requested at once. The treasurer will lap the funds from one project to the other and unless a cash count is conducted the scheme cannot be discovered.</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 xml:space="preserve">Embezzlement can also be defined as the misapplication of depositors funds by bank employees for the benefit of the employees or another party. Persons trusted with safe custody of property misappropriates it for their own benefit. </w:t>
            </w: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Types of embezzlement schemes include false accounting entries, unauthorized disbursement of funds, false or unauthorized transfers from internal accounts, theft of physical property and paying personal expenses using bank funds.</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Financial crimes are crimes against property in which a person unlawfully converts ownership of property belonging to another person for his/her own benefit. Factors that must be present for a crime to be a financial crime includes:</w:t>
            </w:r>
          </w:p>
          <w:p w:rsidR="00BF2017" w:rsidRDefault="00BF2017" w:rsidP="00BF2017">
            <w:pPr>
              <w:spacing w:line="360" w:lineRule="auto"/>
              <w:ind w:left="720"/>
              <w:jc w:val="both"/>
              <w:rPr>
                <w:rFonts w:ascii="Arial" w:hAnsi="Arial" w:cs="Arial"/>
                <w:sz w:val="24"/>
                <w:szCs w:val="24"/>
              </w:rPr>
            </w:pPr>
          </w:p>
          <w:p w:rsidR="00BF2017" w:rsidRDefault="00BF2017" w:rsidP="00BF2017">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Presence of a valuable item.</w:t>
            </w:r>
          </w:p>
          <w:p w:rsidR="00BF2017" w:rsidRDefault="00BF2017" w:rsidP="00BF2017">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Opportunity to take the valuable item without being detected.</w:t>
            </w:r>
          </w:p>
          <w:p w:rsidR="00BF2017" w:rsidRDefault="00BF2017" w:rsidP="00BF2017">
            <w:pPr>
              <w:pStyle w:val="ListParagraph"/>
              <w:numPr>
                <w:ilvl w:val="0"/>
                <w:numId w:val="5"/>
              </w:numPr>
              <w:spacing w:after="160" w:line="360" w:lineRule="auto"/>
              <w:jc w:val="both"/>
              <w:rPr>
                <w:rFonts w:ascii="Arial" w:hAnsi="Arial" w:cs="Arial"/>
                <w:sz w:val="24"/>
                <w:szCs w:val="24"/>
              </w:rPr>
            </w:pPr>
            <w:r>
              <w:rPr>
                <w:rFonts w:ascii="Arial" w:hAnsi="Arial" w:cs="Arial"/>
                <w:sz w:val="24"/>
                <w:szCs w:val="24"/>
              </w:rPr>
              <w:t>Willingness to commit the crime by the perpetrator.</w:t>
            </w: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Embezzlement can be classified as a financial crime since it involves the unlawful taking of property or cash (valuable item) that is in the lawful custody of the perpetrator.</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Opportunity to unlawfully take the valuable property without being detected arise since the perpetrator has the valuable item at his disposal and in cases where internal controls are weak such as having cash or property existence verification at the end of a specified period such as a month or a quarter. In some cases, property existence is not verified at all giving the perpetrator the opportunity to commit the crime without being detected.</w:t>
            </w: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lastRenderedPageBreak/>
              <w:t xml:space="preserve">In embezzlement cases the embezzler usually commits the fraud on his own will hoping to return the funds back without the owner having to notice the scheme. An un-shareable financial need by the embezzler pushes him/her to unlawfully take away the property under his custody. In some cases, embezzlers will take small amounts of money relative to total amount kept and rationalize their behaviours by saying that the owner will not be hurt since the amount concerned is small. </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As embezzlement satisfies all the factors that must be seen for all financial crimes is should indeed be classified as a financial crime.</w:t>
            </w:r>
          </w:p>
          <w:p w:rsidR="00BF2017" w:rsidRDefault="00BF2017" w:rsidP="00BF2017">
            <w:pPr>
              <w:spacing w:line="360" w:lineRule="auto"/>
              <w:jc w:val="both"/>
              <w:rPr>
                <w:rFonts w:ascii="Arial" w:hAnsi="Arial" w:cs="Arial"/>
                <w:sz w:val="24"/>
                <w:szCs w:val="24"/>
              </w:rPr>
            </w:pPr>
          </w:p>
          <w:p w:rsidR="00BF2017" w:rsidRDefault="00BF2017" w:rsidP="00BF2017">
            <w:pPr>
              <w:pStyle w:val="ListParagraph"/>
              <w:numPr>
                <w:ilvl w:val="0"/>
                <w:numId w:val="2"/>
              </w:numPr>
              <w:spacing w:after="160" w:line="360" w:lineRule="auto"/>
              <w:jc w:val="both"/>
              <w:rPr>
                <w:rFonts w:ascii="Arial" w:hAnsi="Arial" w:cs="Arial"/>
                <w:sz w:val="24"/>
                <w:szCs w:val="24"/>
              </w:rPr>
            </w:pPr>
            <w:r>
              <w:rPr>
                <w:rFonts w:ascii="Arial" w:hAnsi="Arial" w:cs="Arial"/>
                <w:sz w:val="24"/>
                <w:szCs w:val="24"/>
              </w:rPr>
              <w:t xml:space="preserve">Forgery is any writing prepared by a person with the intention of defrauding or deceiving another person. Documents can be forged manually by hand using inks or electronically using computers and printers. The crime of forgery must have two features which are: - </w:t>
            </w:r>
          </w:p>
          <w:p w:rsidR="00BF2017" w:rsidRDefault="00BF2017" w:rsidP="00BF2017">
            <w:pPr>
              <w:pStyle w:val="ListParagraph"/>
              <w:spacing w:line="360" w:lineRule="auto"/>
              <w:jc w:val="both"/>
              <w:rPr>
                <w:rFonts w:ascii="Arial" w:hAnsi="Arial" w:cs="Arial"/>
                <w:sz w:val="24"/>
                <w:szCs w:val="24"/>
              </w:rPr>
            </w:pPr>
          </w:p>
          <w:p w:rsidR="00BF2017" w:rsidRDefault="00BF2017" w:rsidP="00BF2017">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The signature was not made by the person whose signature is meant to be. An example is when a cheque is dispatched from a company but the authorised marker did not sign it.</w:t>
            </w:r>
          </w:p>
          <w:p w:rsidR="00BF2017" w:rsidRDefault="00BF2017" w:rsidP="00BF2017">
            <w:pPr>
              <w:pStyle w:val="ListParagraph"/>
              <w:spacing w:line="360" w:lineRule="auto"/>
              <w:ind w:left="1440"/>
              <w:jc w:val="both"/>
              <w:rPr>
                <w:rFonts w:ascii="Arial" w:hAnsi="Arial" w:cs="Arial"/>
                <w:sz w:val="24"/>
                <w:szCs w:val="24"/>
              </w:rPr>
            </w:pPr>
            <w:r>
              <w:rPr>
                <w:rFonts w:ascii="Arial" w:hAnsi="Arial" w:cs="Arial"/>
                <w:sz w:val="24"/>
                <w:szCs w:val="24"/>
              </w:rPr>
              <w:t xml:space="preserve"> </w:t>
            </w:r>
          </w:p>
          <w:p w:rsidR="00BF2017" w:rsidRDefault="00BF2017" w:rsidP="00BF2017">
            <w:pPr>
              <w:pStyle w:val="ListParagraph"/>
              <w:numPr>
                <w:ilvl w:val="0"/>
                <w:numId w:val="4"/>
              </w:numPr>
              <w:spacing w:after="160" w:line="360" w:lineRule="auto"/>
              <w:jc w:val="both"/>
              <w:rPr>
                <w:rFonts w:ascii="Arial" w:hAnsi="Arial" w:cs="Arial"/>
                <w:sz w:val="24"/>
                <w:szCs w:val="24"/>
              </w:rPr>
            </w:pPr>
            <w:r>
              <w:rPr>
                <w:rFonts w:ascii="Arial" w:hAnsi="Arial" w:cs="Arial"/>
                <w:sz w:val="24"/>
                <w:szCs w:val="24"/>
              </w:rPr>
              <w:t>Someone made the signature illegally. Continuing with the above example, an unauthorised person signs the cheque.</w:t>
            </w:r>
          </w:p>
          <w:p w:rsidR="00BF2017" w:rsidRPr="001F6BEC" w:rsidRDefault="00BF2017" w:rsidP="00BF2017">
            <w:pPr>
              <w:pStyle w:val="ListParagrap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When a person forges money or currency this is known as counterfeiting.</w:t>
            </w:r>
            <w:r>
              <w:rPr>
                <w:rFonts w:ascii="Arial" w:hAnsi="Arial" w:cs="Arial"/>
                <w:sz w:val="24"/>
                <w:szCs w:val="24"/>
              </w:rPr>
              <w:t xml:space="preserve"> The </w:t>
            </w: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difference between forgery and uttering is that forgery entails the making and crafting of a phony document while uttering is the assertion by words or action that a document which one knows to be fake is valid with the intention of deceiving another person.</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In an example where a person deposits a fake cheque into a personal account, the process of faking the cheque so that it appears as if it originates from a legitimate source is forgery while depositing the cheque into an account is uttering.</w:t>
            </w: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lastRenderedPageBreak/>
              <w:t>Another difference is that in a particular case forgery precedes uttering. This means that forgery can exist alone when the forged document is not passed for payment but without forgery there can be no uttering.</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Although the sentence and seriousness of forgery and uttering is almost similar in most jurisdictions another difference is that forgery requires writing while uttering only requires assertions either by word or action.</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b/>
                <w:sz w:val="24"/>
                <w:szCs w:val="24"/>
              </w:rPr>
            </w:pPr>
            <w:r w:rsidRPr="00AF1872">
              <w:rPr>
                <w:rFonts w:ascii="Arial" w:hAnsi="Arial" w:cs="Arial"/>
                <w:b/>
                <w:sz w:val="24"/>
                <w:szCs w:val="24"/>
              </w:rPr>
              <w:t>Case study</w:t>
            </w: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 xml:space="preserve">After profiling a fraud suspect, a forensic accountant should conduct a net-worth analysis. Net-worth analysis is a tool used to expose unexplained changes in a suspect’s incomes, expenses level and general lifestyle to establish if he/she had access to undisclosed sources of income. </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Generally, people dispose earned income in four ways which are: spending it, saving, buying assets and paying off debts. Basically there are two net-worth analysis methods which a forensic accountant can use and these are the asset method and the expense method.</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The asset method also known as comparative net-worth is used when an investigator suspects that the fraudster used illicit income to purchase assets. This method utilizes the basic accounting equation which asserts that assets=equity + liabilities. An increase in assets which does not match income from all sources indicates that assets may have been acquired from undisclosed sources of income.</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The second method is called the expenditures method or the source and application of funds method. This compares the suspect’s known expenditures and known sources of income.  This will be ideal to use when the subject is suspected to have spent undisclosed income.</w:t>
            </w:r>
          </w:p>
          <w:p w:rsidR="00BF2017" w:rsidRPr="0025527B"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r>
              <w:rPr>
                <w:rFonts w:ascii="Arial" w:hAnsi="Arial" w:cs="Arial"/>
                <w:sz w:val="24"/>
                <w:szCs w:val="24"/>
              </w:rPr>
              <w:t xml:space="preserve">In the case study above, the forensic accountant might have used the expenditure method since he found that the husband and wife spent more cash compared to income from disclosed sources. The procedure followed </w:t>
            </w:r>
            <w:r>
              <w:rPr>
                <w:rFonts w:ascii="Arial" w:hAnsi="Arial" w:cs="Arial"/>
                <w:sz w:val="24"/>
                <w:szCs w:val="24"/>
              </w:rPr>
              <w:lastRenderedPageBreak/>
              <w:t>by the forensic accountant involved listing all living expenses such as clothes, rent, motor vehicle repairs, insurance and income taxes and comparing the total expenditure with the total of known sources of income such as salaries, bonuses, loan proceeds, gifts and dividends.  After carrying out this analysis the investigator might have found that expenditure exceeded known sources of income. The difference in this case will be income from undisclosed sources.</w:t>
            </w:r>
          </w:p>
          <w:p w:rsidR="00BF2017" w:rsidRDefault="00BF2017" w:rsidP="00BF2017">
            <w:pPr>
              <w:spacing w:line="360" w:lineRule="auto"/>
              <w:ind w:left="720"/>
              <w:jc w:val="both"/>
              <w:rPr>
                <w:rFonts w:ascii="Arial" w:hAnsi="Arial" w:cs="Arial"/>
                <w:sz w:val="24"/>
                <w:szCs w:val="24"/>
              </w:rPr>
            </w:pPr>
          </w:p>
          <w:p w:rsidR="00BF2017" w:rsidRDefault="00BF2017" w:rsidP="00BF2017">
            <w:pPr>
              <w:spacing w:line="360" w:lineRule="auto"/>
              <w:ind w:left="720"/>
              <w:jc w:val="both"/>
              <w:rPr>
                <w:rFonts w:ascii="Arial" w:hAnsi="Arial" w:cs="Arial"/>
                <w:sz w:val="24"/>
                <w:szCs w:val="24"/>
              </w:rPr>
            </w:pPr>
          </w:p>
          <w:sdt>
            <w:sdtPr>
              <w:id w:val="-1879316931"/>
              <w:docPartObj>
                <w:docPartGallery w:val="Bibliographies"/>
                <w:docPartUnique/>
              </w:docPartObj>
            </w:sdtPr>
            <w:sdtEndPr>
              <w:rPr>
                <w:rFonts w:asciiTheme="minorHAnsi" w:eastAsiaTheme="minorHAnsi" w:hAnsiTheme="minorHAnsi" w:cstheme="minorBidi"/>
                <w:color w:val="auto"/>
                <w:sz w:val="22"/>
                <w:szCs w:val="22"/>
              </w:rPr>
            </w:sdtEndPr>
            <w:sdtContent>
              <w:p w:rsidR="00BF2017" w:rsidRPr="00FF53BE" w:rsidRDefault="00BF2017" w:rsidP="00BF2017">
                <w:pPr>
                  <w:pStyle w:val="Heading1"/>
                  <w:outlineLvl w:val="0"/>
                  <w:rPr>
                    <w:rFonts w:ascii="Arial" w:hAnsi="Arial" w:cs="Arial"/>
                    <w:b/>
                    <w:color w:val="auto"/>
                    <w:sz w:val="24"/>
                    <w:szCs w:val="24"/>
                  </w:rPr>
                </w:pPr>
                <w:r w:rsidRPr="00FF53BE">
                  <w:rPr>
                    <w:rFonts w:ascii="Arial" w:hAnsi="Arial" w:cs="Arial"/>
                    <w:b/>
                    <w:color w:val="auto"/>
                    <w:sz w:val="24"/>
                    <w:szCs w:val="24"/>
                  </w:rPr>
                  <w:t>References</w:t>
                </w:r>
              </w:p>
              <w:p w:rsidR="00BF2017" w:rsidRPr="00FF53BE" w:rsidRDefault="00BF2017" w:rsidP="00BF2017"/>
              <w:sdt>
                <w:sdtPr>
                  <w:rPr>
                    <w:rFonts w:ascii="Arial" w:hAnsi="Arial" w:cs="Arial"/>
                    <w:sz w:val="24"/>
                    <w:szCs w:val="24"/>
                  </w:rPr>
                  <w:id w:val="-573587230"/>
                  <w:bibliography/>
                </w:sdtPr>
                <w:sdtEndPr>
                  <w:rPr>
                    <w:rFonts w:asciiTheme="minorHAnsi" w:hAnsiTheme="minorHAnsi" w:cstheme="minorBidi"/>
                    <w:sz w:val="22"/>
                    <w:szCs w:val="22"/>
                  </w:rPr>
                </w:sdtEndPr>
                <w:sdtContent>
                  <w:p w:rsidR="00BF2017" w:rsidRPr="00FF53BE" w:rsidRDefault="00BF2017" w:rsidP="00BF2017">
                    <w:pPr>
                      <w:pStyle w:val="Bibliography"/>
                      <w:rPr>
                        <w:rFonts w:ascii="Arial" w:hAnsi="Arial" w:cs="Arial"/>
                        <w:noProof/>
                        <w:sz w:val="24"/>
                        <w:szCs w:val="24"/>
                      </w:rPr>
                    </w:pPr>
                    <w:r w:rsidRPr="00FF53BE">
                      <w:rPr>
                        <w:rFonts w:ascii="Arial" w:hAnsi="Arial" w:cs="Arial"/>
                        <w:sz w:val="24"/>
                        <w:szCs w:val="24"/>
                      </w:rPr>
                      <w:fldChar w:fldCharType="begin"/>
                    </w:r>
                    <w:r w:rsidRPr="00FF53BE">
                      <w:rPr>
                        <w:rFonts w:ascii="Arial" w:hAnsi="Arial" w:cs="Arial"/>
                        <w:sz w:val="24"/>
                        <w:szCs w:val="24"/>
                      </w:rPr>
                      <w:instrText xml:space="preserve"> BIBLIOGRAPHY </w:instrText>
                    </w:r>
                    <w:r w:rsidRPr="00FF53BE">
                      <w:rPr>
                        <w:rFonts w:ascii="Arial" w:hAnsi="Arial" w:cs="Arial"/>
                        <w:sz w:val="24"/>
                        <w:szCs w:val="24"/>
                      </w:rPr>
                      <w:fldChar w:fldCharType="separate"/>
                    </w:r>
                    <w:r w:rsidRPr="00FF53BE">
                      <w:rPr>
                        <w:rFonts w:ascii="Arial" w:hAnsi="Arial" w:cs="Arial"/>
                        <w:noProof/>
                        <w:sz w:val="24"/>
                        <w:szCs w:val="24"/>
                      </w:rPr>
                      <w:t xml:space="preserve">ACFE, 2015. </w:t>
                    </w:r>
                    <w:r w:rsidRPr="00FF53BE">
                      <w:rPr>
                        <w:rFonts w:ascii="Arial" w:hAnsi="Arial" w:cs="Arial"/>
                        <w:i/>
                        <w:iCs/>
                        <w:noProof/>
                        <w:sz w:val="24"/>
                        <w:szCs w:val="24"/>
                      </w:rPr>
                      <w:t xml:space="preserve">Fraud Examiner's Manual. </w:t>
                    </w:r>
                    <w:r w:rsidRPr="00FF53BE">
                      <w:rPr>
                        <w:rFonts w:ascii="Arial" w:hAnsi="Arial" w:cs="Arial"/>
                        <w:noProof/>
                        <w:sz w:val="24"/>
                        <w:szCs w:val="24"/>
                      </w:rPr>
                      <w:t>Texas: Association of Certified Fraud Examiners.</w:t>
                    </w:r>
                  </w:p>
                  <w:p w:rsidR="00BF2017" w:rsidRDefault="00BF2017" w:rsidP="00BF2017">
                    <w:r w:rsidRPr="00FF53BE">
                      <w:rPr>
                        <w:rFonts w:ascii="Arial" w:hAnsi="Arial" w:cs="Arial"/>
                        <w:b/>
                        <w:bCs/>
                        <w:noProof/>
                        <w:sz w:val="24"/>
                        <w:szCs w:val="24"/>
                      </w:rPr>
                      <w:fldChar w:fldCharType="end"/>
                    </w:r>
                  </w:p>
                </w:sdtContent>
              </w:sdt>
            </w:sdtContent>
          </w:sdt>
          <w:p w:rsidR="00BF2017" w:rsidRPr="00EB3E1F" w:rsidRDefault="00BF2017" w:rsidP="00BF2017">
            <w:pPr>
              <w:spacing w:line="360" w:lineRule="auto"/>
              <w:ind w:left="720"/>
              <w:jc w:val="both"/>
              <w:rPr>
                <w:rFonts w:ascii="Arial" w:hAnsi="Arial" w:cs="Arial"/>
                <w:sz w:val="24"/>
                <w:szCs w:val="24"/>
              </w:rPr>
            </w:pPr>
          </w:p>
          <w:p w:rsidR="00BF2017" w:rsidRPr="00CC2FB3" w:rsidRDefault="00BF2017" w:rsidP="00A851DA">
            <w:pPr>
              <w:rPr>
                <w:rFonts w:ascii="Arial" w:hAnsi="Arial" w:cs="Arial"/>
                <w:sz w:val="24"/>
                <w:szCs w:val="24"/>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BF2017" w:rsidRDefault="00BF2017"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0"/>
        <w:gridCol w:w="3927"/>
        <w:gridCol w:w="1245"/>
        <w:gridCol w:w="159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BD101E" w:rsidRPr="000C2035" w:rsidRDefault="00D96108" w:rsidP="00A851DA">
            <w:pPr>
              <w:rPr>
                <w:rFonts w:ascii="Arial" w:hAnsi="Arial" w:cs="Arial"/>
                <w:color w:val="000000"/>
              </w:rPr>
            </w:pPr>
            <w:r w:rsidRPr="000C2035">
              <w:rPr>
                <w:rFonts w:ascii="Arial" w:hAnsi="Arial" w:cs="Arial"/>
                <w:color w:val="000000"/>
                <w:sz w:val="24"/>
              </w:rPr>
              <w:t>Aleck Mandivengerei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F2017" w:rsidP="00A851DA">
            <w:pPr>
              <w:rPr>
                <w:rFonts w:cs="Bliss-Regular"/>
                <w:color w:val="000000"/>
              </w:rPr>
            </w:pPr>
            <w:r>
              <w:rPr>
                <w:rFonts w:cs="Bliss-Regular"/>
                <w:color w:val="000000"/>
              </w:rPr>
              <w:t>06/03/16</w:t>
            </w:r>
          </w:p>
        </w:tc>
      </w:tr>
    </w:tbl>
    <w:p w:rsidR="00A851DA" w:rsidRPr="00B0415E" w:rsidRDefault="00A851DA" w:rsidP="00A851DA">
      <w:pPr>
        <w:rPr>
          <w:rFonts w:cs="Bliss-Regular"/>
          <w:color w:val="000000"/>
          <w:lang w:val="en-US"/>
        </w:rPr>
      </w:pPr>
    </w:p>
    <w:p w:rsidR="00A851DA" w:rsidRPr="00B0415E" w:rsidRDefault="00503D7E" w:rsidP="00BD101E">
      <w:pPr>
        <w:shd w:val="clear" w:color="auto" w:fill="D9D9D9" w:themeFill="background1" w:themeFillShade="D9"/>
        <w:ind w:left="-9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F2017">
      <w:pPr>
        <w:rPr>
          <w:rFonts w:cs="Times New Roman"/>
          <w:sz w:val="24"/>
          <w:szCs w:val="32"/>
        </w:rPr>
      </w:pPr>
      <w:bookmarkStart w:id="0" w:name="_GoBack"/>
      <w:bookmarkEnd w:id="0"/>
    </w:p>
    <w:sectPr w:rsidR="00A851DA" w:rsidSect="00BF2017">
      <w:pgSz w:w="11906" w:h="16838"/>
      <w:pgMar w:top="900" w:right="1440" w:bottom="117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55A2" w:rsidRDefault="008D55A2" w:rsidP="00CB4D0A">
      <w:pPr>
        <w:spacing w:after="0" w:line="240" w:lineRule="auto"/>
      </w:pPr>
      <w:r>
        <w:separator/>
      </w:r>
    </w:p>
  </w:endnote>
  <w:endnote w:type="continuationSeparator" w:id="0">
    <w:p w:rsidR="008D55A2" w:rsidRDefault="008D55A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55A2" w:rsidRDefault="008D55A2" w:rsidP="00CB4D0A">
      <w:pPr>
        <w:spacing w:after="0" w:line="240" w:lineRule="auto"/>
      </w:pPr>
      <w:r>
        <w:separator/>
      </w:r>
    </w:p>
  </w:footnote>
  <w:footnote w:type="continuationSeparator" w:id="0">
    <w:p w:rsidR="008D55A2" w:rsidRDefault="008D55A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B7DCD"/>
    <w:multiLevelType w:val="hybridMultilevel"/>
    <w:tmpl w:val="E62CD92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EBB4EDC"/>
    <w:multiLevelType w:val="hybridMultilevel"/>
    <w:tmpl w:val="48B2693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BB06B4A"/>
    <w:multiLevelType w:val="hybridMultilevel"/>
    <w:tmpl w:val="5FBE58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4BB4592"/>
    <w:multiLevelType w:val="hybridMultilevel"/>
    <w:tmpl w:val="7BEA62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2"/>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C2035"/>
    <w:rsid w:val="001175EE"/>
    <w:rsid w:val="00157CF6"/>
    <w:rsid w:val="00182416"/>
    <w:rsid w:val="00187EB4"/>
    <w:rsid w:val="001F0481"/>
    <w:rsid w:val="00200C92"/>
    <w:rsid w:val="0020451E"/>
    <w:rsid w:val="00206B9D"/>
    <w:rsid w:val="0023259C"/>
    <w:rsid w:val="002B0BD7"/>
    <w:rsid w:val="002B573D"/>
    <w:rsid w:val="002C5CB2"/>
    <w:rsid w:val="002F779F"/>
    <w:rsid w:val="003121C2"/>
    <w:rsid w:val="00371885"/>
    <w:rsid w:val="003E2B87"/>
    <w:rsid w:val="00402786"/>
    <w:rsid w:val="00405895"/>
    <w:rsid w:val="004058DF"/>
    <w:rsid w:val="00443E6F"/>
    <w:rsid w:val="00486F1A"/>
    <w:rsid w:val="00490CB9"/>
    <w:rsid w:val="004A2CE2"/>
    <w:rsid w:val="004B114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4B3A"/>
    <w:rsid w:val="008D55A2"/>
    <w:rsid w:val="00933838"/>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D101E"/>
    <w:rsid w:val="00BF2017"/>
    <w:rsid w:val="00C03577"/>
    <w:rsid w:val="00C53029"/>
    <w:rsid w:val="00C65FEA"/>
    <w:rsid w:val="00CA0AC2"/>
    <w:rsid w:val="00CB4D0A"/>
    <w:rsid w:val="00CC2FB3"/>
    <w:rsid w:val="00CC575A"/>
    <w:rsid w:val="00CF123B"/>
    <w:rsid w:val="00D039AC"/>
    <w:rsid w:val="00D427DE"/>
    <w:rsid w:val="00D5587D"/>
    <w:rsid w:val="00D707CC"/>
    <w:rsid w:val="00D821FE"/>
    <w:rsid w:val="00D96108"/>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8DFA0"/>
  <w15:docId w15:val="{44AF02C4-72DF-4BCD-B72A-3279294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1">
    <w:name w:val="heading 1"/>
    <w:basedOn w:val="Normal"/>
    <w:next w:val="Normal"/>
    <w:link w:val="Heading1Char"/>
    <w:uiPriority w:val="9"/>
    <w:qFormat/>
    <w:rsid w:val="00BF201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017"/>
    <w:rPr>
      <w:rFonts w:asciiTheme="majorHAnsi" w:eastAsiaTheme="majorEastAsia" w:hAnsiTheme="majorHAnsi" w:cstheme="majorBidi"/>
      <w:color w:val="365F91" w:themeColor="accent1" w:themeShade="BF"/>
      <w:sz w:val="32"/>
      <w:szCs w:val="32"/>
      <w:lang w:val="en-US"/>
    </w:rPr>
  </w:style>
  <w:style w:type="paragraph" w:styleId="Bibliography">
    <w:name w:val="Bibliography"/>
    <w:basedOn w:val="Normal"/>
    <w:next w:val="Normal"/>
    <w:uiPriority w:val="37"/>
    <w:unhideWhenUsed/>
    <w:rsid w:val="00BF2017"/>
    <w:pPr>
      <w:spacing w:after="160" w:line="259"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F06D58-8051-4CC0-BE26-3EEB5EEB4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7</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cp:lastModifiedBy>
  <cp:revision>6</cp:revision>
  <dcterms:created xsi:type="dcterms:W3CDTF">2016-03-03T04:47:00Z</dcterms:created>
  <dcterms:modified xsi:type="dcterms:W3CDTF">2016-03-06T12:14:00Z</dcterms:modified>
</cp:coreProperties>
</file>