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1F2250"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167BC6" w:rsidRDefault="00167BC6"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167BC6" w:rsidRDefault="00167BC6"/>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21E00008" w:rsidR="00A851DA" w:rsidRPr="00B0415E" w:rsidRDefault="00786362">
            <w:r>
              <w:t>Five</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38F0AC5C" w:rsidR="00405895" w:rsidRPr="00B0415E" w:rsidRDefault="00935AC5" w:rsidP="00A851DA">
            <w:pPr>
              <w:rPr>
                <w:rFonts w:cs="Bliss-Regular"/>
                <w:color w:val="000000"/>
              </w:rPr>
            </w:pPr>
            <w:r>
              <w:rPr>
                <w:rFonts w:cs="Bliss-Regular"/>
                <w:color w:val="000000"/>
              </w:rPr>
              <w:t>13</w:t>
            </w:r>
            <w:r w:rsidRPr="00935AC5">
              <w:rPr>
                <w:rFonts w:cs="Bliss-Regular"/>
                <w:color w:val="000000"/>
                <w:vertAlign w:val="superscript"/>
              </w:rPr>
              <w:t>th</w:t>
            </w:r>
            <w:r>
              <w:rPr>
                <w:rFonts w:cs="Bliss-Regular"/>
                <w:color w:val="000000"/>
              </w:rPr>
              <w:t xml:space="preserve"> </w:t>
            </w:r>
            <w:r w:rsidR="008C15B7">
              <w:rPr>
                <w:rFonts w:cs="Bliss-Regular"/>
                <w:color w:val="000000"/>
              </w:rPr>
              <w:t>November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4AE3C386" w:rsidR="00243731" w:rsidRPr="00817F89" w:rsidRDefault="007F50FB" w:rsidP="00243731">
      <w:pPr>
        <w:spacing w:line="360" w:lineRule="auto"/>
        <w:jc w:val="both"/>
        <w:rPr>
          <w:rFonts w:ascii="Arial" w:hAnsi="Arial" w:cs="Arial"/>
          <w:b/>
          <w:sz w:val="24"/>
          <w:szCs w:val="24"/>
        </w:rPr>
      </w:pPr>
      <w:r>
        <w:rPr>
          <w:rFonts w:ascii="Arial" w:hAnsi="Arial" w:cs="Arial"/>
          <w:b/>
          <w:sz w:val="24"/>
          <w:szCs w:val="24"/>
        </w:rPr>
        <w:lastRenderedPageBreak/>
        <w:t xml:space="preserve">Question 1 – I – </w:t>
      </w:r>
      <w:r w:rsidR="00786362">
        <w:rPr>
          <w:rFonts w:ascii="Arial" w:hAnsi="Arial" w:cs="Arial"/>
          <w:b/>
          <w:sz w:val="24"/>
          <w:szCs w:val="24"/>
        </w:rPr>
        <w:t xml:space="preserve">What is meant by the term ‘best </w:t>
      </w:r>
      <w:proofErr w:type="gramStart"/>
      <w:r w:rsidR="00786362">
        <w:rPr>
          <w:rFonts w:ascii="Arial" w:hAnsi="Arial" w:cs="Arial"/>
          <w:b/>
          <w:sz w:val="24"/>
          <w:szCs w:val="24"/>
        </w:rPr>
        <w:t>evidence’</w:t>
      </w:r>
      <w:r w:rsidR="007B4486">
        <w:rPr>
          <w:rFonts w:ascii="Arial" w:hAnsi="Arial" w:cs="Arial"/>
          <w:b/>
          <w:sz w:val="24"/>
          <w:szCs w:val="24"/>
        </w:rPr>
        <w:t xml:space="preserve"> ?</w:t>
      </w:r>
      <w:proofErr w:type="gramEnd"/>
      <w:r w:rsidR="00951558">
        <w:rPr>
          <w:rFonts w:ascii="Arial" w:hAnsi="Arial" w:cs="Arial"/>
          <w:b/>
          <w:sz w:val="24"/>
          <w:szCs w:val="24"/>
        </w:rPr>
        <w:t xml:space="preserve"> </w:t>
      </w:r>
    </w:p>
    <w:p w14:paraId="33084650" w14:textId="4A2BAB09" w:rsidR="0086615E"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Blacks Law Dictionary defines evidence as anything perceivable by the five senses and any proof – such as testimony of witnesses, records, documents, facts, data or tangible objects – legally presented at trial to prove a contention and induce a belief in the minds of a jury.</w:t>
      </w:r>
    </w:p>
    <w:p w14:paraId="2C8A2149" w14:textId="4835C763" w:rsidR="00786362"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The type, quantum and quality of evidence collected, and presented in a court of law</w:t>
      </w:r>
      <w:r w:rsidR="00A13263">
        <w:rPr>
          <w:rFonts w:ascii="Arial" w:hAnsi="Arial" w:cs="Arial"/>
          <w:sz w:val="24"/>
          <w:szCs w:val="24"/>
          <w:lang w:val="en-GB"/>
        </w:rPr>
        <w:t>,</w:t>
      </w:r>
      <w:r>
        <w:rPr>
          <w:rFonts w:ascii="Arial" w:hAnsi="Arial" w:cs="Arial"/>
          <w:sz w:val="24"/>
          <w:szCs w:val="24"/>
          <w:lang w:val="en-GB"/>
        </w:rPr>
        <w:t xml:space="preserve"> is essential in ensuring a conviction as evidence results in the emergence of proof.</w:t>
      </w:r>
    </w:p>
    <w:p w14:paraId="084D56FC" w14:textId="41527586" w:rsidR="00786362"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Evidence can be broadly categorised as either direct i.e. evidence that stands on its own to prove a fact, or circumstantial i.e. evidence that relies on an inference to connect it to a conclusion of fact. Both types of evidence can be utilised in a court case associated with a financial crime.</w:t>
      </w:r>
    </w:p>
    <w:p w14:paraId="6E580205" w14:textId="125DFCC8" w:rsidR="00786362"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Oral, documentary or real/physical evidence may be gathered to support a case but back in the 18</w:t>
      </w:r>
      <w:r w:rsidRPr="00786362">
        <w:rPr>
          <w:rFonts w:ascii="Arial" w:hAnsi="Arial" w:cs="Arial"/>
          <w:sz w:val="24"/>
          <w:szCs w:val="24"/>
          <w:vertAlign w:val="superscript"/>
          <w:lang w:val="en-GB"/>
        </w:rPr>
        <w:t>th</w:t>
      </w:r>
      <w:r>
        <w:rPr>
          <w:rFonts w:ascii="Arial" w:hAnsi="Arial" w:cs="Arial"/>
          <w:sz w:val="24"/>
          <w:szCs w:val="24"/>
          <w:lang w:val="en-GB"/>
        </w:rPr>
        <w:t xml:space="preserve"> Century a British Court described the Best Evidence Rule as barring all evidence unless it was “the best that the nature of the case will admit.” In order to reduce the risk of error, or forgery, this was generally accepted as being the original e.g. the actual bank statement and not a copy. However, with the increasing use of technology this rule has come under pressure.</w:t>
      </w:r>
    </w:p>
    <w:p w14:paraId="59152914" w14:textId="77777777" w:rsidR="00786362"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In the US Article X of the Federal Rules of Evidence covers the current Best Evidence Rule.  Rule 1002 states “An original writing, recording or photograph is required in order to prove its content unless these rules, or a federal statute, provides otherwise.” Rule 1003 provides a duplicate exception i.e. “A duplicate is admissible, to the same extent as the original, unless a genuine question is raised about the original’s authenticity or the circumstances make it unfair to admit the duplicate.”</w:t>
      </w:r>
    </w:p>
    <w:p w14:paraId="6D0D6C4D" w14:textId="77777777" w:rsidR="00B628F2" w:rsidRDefault="0078636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Questions may arise as to whether the original ever existed, whether the signature is real or a forgery, or whether the original was altered before copying. Questions may also be raised</w:t>
      </w:r>
      <w:r w:rsidR="00B628F2">
        <w:rPr>
          <w:rFonts w:ascii="Arial" w:hAnsi="Arial" w:cs="Arial"/>
          <w:sz w:val="24"/>
          <w:szCs w:val="24"/>
          <w:lang w:val="en-GB"/>
        </w:rPr>
        <w:t xml:space="preserve"> if only part of the original document, or recording, is duplicated; in these situations critical information may be omitted.</w:t>
      </w:r>
    </w:p>
    <w:p w14:paraId="448A8D5D" w14:textId="32EAC7AA" w:rsidR="00786362" w:rsidRDefault="00B628F2"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To the extent possible therefore it is always best for the Forensic Accountant to secure, and present, originals for their evidence.</w:t>
      </w:r>
      <w:r w:rsidR="00786362">
        <w:rPr>
          <w:rFonts w:ascii="Arial" w:hAnsi="Arial" w:cs="Arial"/>
          <w:sz w:val="24"/>
          <w:szCs w:val="24"/>
          <w:lang w:val="en-GB"/>
        </w:rPr>
        <w:t xml:space="preserve"> </w:t>
      </w:r>
    </w:p>
    <w:p w14:paraId="53C4B670" w14:textId="77777777" w:rsidR="00786362" w:rsidRPr="00817F89" w:rsidRDefault="00786362" w:rsidP="00243731">
      <w:pPr>
        <w:pStyle w:val="ListParagraph"/>
        <w:spacing w:line="360" w:lineRule="auto"/>
        <w:ind w:left="0"/>
        <w:jc w:val="both"/>
        <w:rPr>
          <w:rFonts w:ascii="Arial" w:hAnsi="Arial" w:cs="Arial"/>
          <w:sz w:val="24"/>
          <w:szCs w:val="24"/>
          <w:lang w:val="en-GB"/>
        </w:rPr>
      </w:pPr>
    </w:p>
    <w:p w14:paraId="39DFD6F0" w14:textId="77777777" w:rsidR="00637878" w:rsidRDefault="00637878">
      <w:pPr>
        <w:rPr>
          <w:rFonts w:ascii="Arial" w:eastAsia="Calibri" w:hAnsi="Arial" w:cs="Arial"/>
          <w:b/>
          <w:sz w:val="24"/>
          <w:szCs w:val="24"/>
        </w:rPr>
      </w:pPr>
      <w:r>
        <w:rPr>
          <w:rFonts w:ascii="Arial" w:hAnsi="Arial" w:cs="Arial"/>
          <w:b/>
          <w:sz w:val="24"/>
          <w:szCs w:val="24"/>
        </w:rPr>
        <w:br w:type="page"/>
      </w:r>
    </w:p>
    <w:p w14:paraId="5E8A37A9" w14:textId="0F51380C" w:rsidR="00243731"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lastRenderedPageBreak/>
        <w:t xml:space="preserve">Question 1 – II – </w:t>
      </w:r>
      <w:r w:rsidR="00FB1FC7">
        <w:rPr>
          <w:rFonts w:ascii="Arial" w:hAnsi="Arial" w:cs="Arial"/>
          <w:b/>
          <w:sz w:val="24"/>
          <w:szCs w:val="24"/>
          <w:lang w:val="en-GB"/>
        </w:rPr>
        <w:t xml:space="preserve">What are the ‘working </w:t>
      </w:r>
      <w:proofErr w:type="gramStart"/>
      <w:r w:rsidR="00FB1FC7">
        <w:rPr>
          <w:rFonts w:ascii="Arial" w:hAnsi="Arial" w:cs="Arial"/>
          <w:b/>
          <w:sz w:val="24"/>
          <w:szCs w:val="24"/>
          <w:lang w:val="en-GB"/>
        </w:rPr>
        <w:t>papers’ ?</w:t>
      </w:r>
      <w:proofErr w:type="gramEnd"/>
      <w:r w:rsidR="00FB1FC7">
        <w:rPr>
          <w:rFonts w:ascii="Arial" w:hAnsi="Arial" w:cs="Arial"/>
          <w:b/>
          <w:sz w:val="24"/>
          <w:szCs w:val="24"/>
          <w:lang w:val="en-GB"/>
        </w:rPr>
        <w:t xml:space="preserve"> Which type of information do they </w:t>
      </w:r>
      <w:proofErr w:type="gramStart"/>
      <w:r w:rsidR="00FB1FC7">
        <w:rPr>
          <w:rFonts w:ascii="Arial" w:hAnsi="Arial" w:cs="Arial"/>
          <w:b/>
          <w:sz w:val="24"/>
          <w:szCs w:val="24"/>
          <w:lang w:val="en-GB"/>
        </w:rPr>
        <w:t>contain ?</w:t>
      </w:r>
      <w:proofErr w:type="gramEnd"/>
    </w:p>
    <w:p w14:paraId="144B0B36" w14:textId="2B4A100C" w:rsidR="00637878" w:rsidRDefault="00637878"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Forensic accounting investigators and financial auditors share a common goal i.e. corporate financial reporting that complies fully with the law. There are many similarities, and differences, in the approach, techniques and tools that the two groups adopt; one similarity is the use of working papers. For financial audits the International Standard of Auditing </w:t>
      </w:r>
      <w:r w:rsidR="00F8639C">
        <w:rPr>
          <w:rFonts w:ascii="Arial" w:hAnsi="Arial" w:cs="Arial"/>
          <w:sz w:val="24"/>
          <w:szCs w:val="24"/>
          <w:lang w:val="en-GB"/>
        </w:rPr>
        <w:t xml:space="preserve">No. </w:t>
      </w:r>
      <w:r>
        <w:rPr>
          <w:rFonts w:ascii="Arial" w:hAnsi="Arial" w:cs="Arial"/>
          <w:sz w:val="24"/>
          <w:szCs w:val="24"/>
          <w:lang w:val="en-GB"/>
        </w:rPr>
        <w:t>230 covers the requirements of audit documentation and defines working papers as -:</w:t>
      </w:r>
    </w:p>
    <w:p w14:paraId="1741FA4B" w14:textId="4227A3C1" w:rsidR="00637878" w:rsidRDefault="00637878"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“Audit documentation – The record of audit procedures performed, relevant audit evidence obtained and conclusions the auditor reached (terms such as “working papers” or “work papers” are also sometimes used).”</w:t>
      </w:r>
    </w:p>
    <w:p w14:paraId="05C20B58" w14:textId="45BFB776" w:rsidR="00637878" w:rsidRDefault="00637878"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Working papers can be kept in paper or electronic format but they must stand on their own. The exact format, and content, may vary for each investigation but they always serve four main purposes i.e.</w:t>
      </w:r>
    </w:p>
    <w:p w14:paraId="0039D57C" w14:textId="2F429CD4" w:rsidR="00637878" w:rsidRDefault="00637878" w:rsidP="00637878">
      <w:pPr>
        <w:pStyle w:val="ListParagraph"/>
        <w:numPr>
          <w:ilvl w:val="0"/>
          <w:numId w:val="19"/>
        </w:numPr>
        <w:spacing w:line="360" w:lineRule="auto"/>
        <w:ind w:left="426" w:hanging="284"/>
        <w:jc w:val="both"/>
        <w:rPr>
          <w:rFonts w:ascii="Arial" w:hAnsi="Arial" w:cs="Arial"/>
          <w:sz w:val="24"/>
          <w:szCs w:val="24"/>
          <w:lang w:val="en-GB"/>
        </w:rPr>
      </w:pPr>
      <w:r>
        <w:rPr>
          <w:rFonts w:ascii="Arial" w:hAnsi="Arial" w:cs="Arial"/>
          <w:sz w:val="24"/>
          <w:szCs w:val="24"/>
          <w:lang w:val="en-GB"/>
        </w:rPr>
        <w:t>They constitute a permanent record of the objectives, scope and work performed as part of the investigation.</w:t>
      </w:r>
    </w:p>
    <w:p w14:paraId="470F4122" w14:textId="456C6F72" w:rsidR="00637878" w:rsidRDefault="00637878" w:rsidP="00637878">
      <w:pPr>
        <w:pStyle w:val="ListParagraph"/>
        <w:numPr>
          <w:ilvl w:val="0"/>
          <w:numId w:val="19"/>
        </w:numPr>
        <w:spacing w:line="360" w:lineRule="auto"/>
        <w:ind w:left="426" w:hanging="284"/>
        <w:jc w:val="both"/>
        <w:rPr>
          <w:rFonts w:ascii="Arial" w:hAnsi="Arial" w:cs="Arial"/>
          <w:sz w:val="24"/>
          <w:szCs w:val="24"/>
          <w:lang w:val="en-GB"/>
        </w:rPr>
      </w:pPr>
      <w:r>
        <w:rPr>
          <w:rFonts w:ascii="Arial" w:hAnsi="Arial" w:cs="Arial"/>
          <w:sz w:val="24"/>
          <w:szCs w:val="24"/>
          <w:lang w:val="en-GB"/>
        </w:rPr>
        <w:t>They contain backup material that supports the investigation findings.</w:t>
      </w:r>
    </w:p>
    <w:p w14:paraId="298744F0" w14:textId="01816553" w:rsidR="00637878" w:rsidRDefault="00637878" w:rsidP="00637878">
      <w:pPr>
        <w:pStyle w:val="ListParagraph"/>
        <w:numPr>
          <w:ilvl w:val="0"/>
          <w:numId w:val="19"/>
        </w:numPr>
        <w:spacing w:line="360" w:lineRule="auto"/>
        <w:ind w:left="426" w:hanging="284"/>
        <w:jc w:val="both"/>
        <w:rPr>
          <w:rFonts w:ascii="Arial" w:hAnsi="Arial" w:cs="Arial"/>
          <w:sz w:val="24"/>
          <w:szCs w:val="24"/>
          <w:lang w:val="en-GB"/>
        </w:rPr>
      </w:pPr>
      <w:r>
        <w:rPr>
          <w:rFonts w:ascii="Arial" w:hAnsi="Arial" w:cs="Arial"/>
          <w:sz w:val="24"/>
          <w:szCs w:val="24"/>
          <w:lang w:val="en-GB"/>
        </w:rPr>
        <w:t>They contain the basic material from which the final investigation report is prepared, including any analysis completed.</w:t>
      </w:r>
    </w:p>
    <w:p w14:paraId="4EE35003" w14:textId="40628D7F" w:rsidR="00637878" w:rsidRDefault="00637878" w:rsidP="00637878">
      <w:pPr>
        <w:pStyle w:val="ListParagraph"/>
        <w:numPr>
          <w:ilvl w:val="0"/>
          <w:numId w:val="19"/>
        </w:numPr>
        <w:spacing w:line="360" w:lineRule="auto"/>
        <w:ind w:left="426" w:hanging="284"/>
        <w:jc w:val="both"/>
        <w:rPr>
          <w:rFonts w:ascii="Arial" w:hAnsi="Arial" w:cs="Arial"/>
          <w:sz w:val="24"/>
          <w:szCs w:val="24"/>
          <w:lang w:val="en-GB"/>
        </w:rPr>
      </w:pPr>
      <w:r>
        <w:rPr>
          <w:rFonts w:ascii="Arial" w:hAnsi="Arial" w:cs="Arial"/>
          <w:sz w:val="24"/>
          <w:szCs w:val="24"/>
          <w:lang w:val="en-GB"/>
        </w:rPr>
        <w:t>They reflect the quality and reliability of the work performed.</w:t>
      </w:r>
    </w:p>
    <w:p w14:paraId="5C18D9A6" w14:textId="53565DD9" w:rsidR="00637878" w:rsidRDefault="00637878" w:rsidP="00637878">
      <w:pPr>
        <w:spacing w:line="360" w:lineRule="auto"/>
        <w:jc w:val="both"/>
        <w:rPr>
          <w:rFonts w:ascii="Arial" w:hAnsi="Arial" w:cs="Arial"/>
          <w:sz w:val="24"/>
          <w:szCs w:val="24"/>
        </w:rPr>
      </w:pPr>
      <w:r>
        <w:rPr>
          <w:rFonts w:ascii="Arial" w:hAnsi="Arial" w:cs="Arial"/>
          <w:sz w:val="24"/>
          <w:szCs w:val="24"/>
        </w:rPr>
        <w:t>It is not practical for an investigator to maintain a record of every document reviewed, or every person interviewed</w:t>
      </w:r>
      <w:r w:rsidR="00F8639C">
        <w:rPr>
          <w:rFonts w:ascii="Arial" w:hAnsi="Arial" w:cs="Arial"/>
          <w:sz w:val="24"/>
          <w:szCs w:val="24"/>
        </w:rPr>
        <w:t>,</w:t>
      </w:r>
      <w:r>
        <w:rPr>
          <w:rFonts w:ascii="Arial" w:hAnsi="Arial" w:cs="Arial"/>
          <w:sz w:val="24"/>
          <w:szCs w:val="24"/>
        </w:rPr>
        <w:t xml:space="preserve"> but they must keep </w:t>
      </w:r>
      <w:r w:rsidR="00A723EF">
        <w:rPr>
          <w:rFonts w:ascii="Arial" w:hAnsi="Arial" w:cs="Arial"/>
          <w:sz w:val="24"/>
          <w:szCs w:val="24"/>
        </w:rPr>
        <w:t>sufficient</w:t>
      </w:r>
      <w:r>
        <w:rPr>
          <w:rFonts w:ascii="Arial" w:hAnsi="Arial" w:cs="Arial"/>
          <w:sz w:val="24"/>
          <w:szCs w:val="24"/>
        </w:rPr>
        <w:t xml:space="preserve"> records</w:t>
      </w:r>
      <w:r w:rsidR="00A723EF">
        <w:rPr>
          <w:rFonts w:ascii="Arial" w:hAnsi="Arial" w:cs="Arial"/>
          <w:sz w:val="24"/>
          <w:szCs w:val="24"/>
        </w:rPr>
        <w:t xml:space="preserve"> to support their findings and to enable a suitably qualified person, who is not familiar with the case, to follow the work and the logic of the conclusions. </w:t>
      </w:r>
    </w:p>
    <w:p w14:paraId="3BEC9A81" w14:textId="77777777" w:rsidR="00F8639C" w:rsidRDefault="00A723EF" w:rsidP="00637878">
      <w:pPr>
        <w:spacing w:line="360" w:lineRule="auto"/>
        <w:jc w:val="both"/>
        <w:rPr>
          <w:rFonts w:ascii="Arial" w:hAnsi="Arial" w:cs="Arial"/>
          <w:sz w:val="24"/>
          <w:szCs w:val="24"/>
        </w:rPr>
      </w:pPr>
      <w:r>
        <w:rPr>
          <w:rFonts w:ascii="Arial" w:hAnsi="Arial" w:cs="Arial"/>
          <w:sz w:val="24"/>
          <w:szCs w:val="24"/>
        </w:rPr>
        <w:t>Generally the documentation falls into two broad categories i.e. internal / administrative e.g. the letter of engagement, who completed the work</w:t>
      </w:r>
      <w:r w:rsidR="00F8639C">
        <w:rPr>
          <w:rFonts w:ascii="Arial" w:hAnsi="Arial" w:cs="Arial"/>
          <w:sz w:val="24"/>
          <w:szCs w:val="24"/>
        </w:rPr>
        <w:t>, required authorisations or approvals, cross references to related documents</w:t>
      </w:r>
      <w:r>
        <w:rPr>
          <w:rFonts w:ascii="Arial" w:hAnsi="Arial" w:cs="Arial"/>
          <w:sz w:val="24"/>
          <w:szCs w:val="24"/>
        </w:rPr>
        <w:t xml:space="preserve"> etc. and substantive work product i.e. the materials prepared in anticipation of litigation. This may include accounting records, source documents such as invoices or purchase orders, the results of searches of both public and private databases, emails, photos, audio recordings, signed witness statements, audit reports (internal o</w:t>
      </w:r>
      <w:r w:rsidR="00F8639C">
        <w:rPr>
          <w:rFonts w:ascii="Arial" w:hAnsi="Arial" w:cs="Arial"/>
          <w:sz w:val="24"/>
          <w:szCs w:val="24"/>
        </w:rPr>
        <w:t>r external), bank records,</w:t>
      </w:r>
      <w:r>
        <w:rPr>
          <w:rFonts w:ascii="Arial" w:hAnsi="Arial" w:cs="Arial"/>
          <w:sz w:val="24"/>
          <w:szCs w:val="24"/>
        </w:rPr>
        <w:t xml:space="preserve"> legal docu</w:t>
      </w:r>
      <w:r w:rsidR="00F8639C">
        <w:rPr>
          <w:rFonts w:ascii="Arial" w:hAnsi="Arial" w:cs="Arial"/>
          <w:sz w:val="24"/>
          <w:szCs w:val="24"/>
        </w:rPr>
        <w:t>ments, analysis completed</w:t>
      </w:r>
      <w:r>
        <w:rPr>
          <w:rFonts w:ascii="Arial" w:hAnsi="Arial" w:cs="Arial"/>
          <w:sz w:val="24"/>
          <w:szCs w:val="24"/>
        </w:rPr>
        <w:t xml:space="preserve"> etc. etc. </w:t>
      </w:r>
    </w:p>
    <w:p w14:paraId="1477D00F" w14:textId="7EF01708" w:rsidR="00A723EF" w:rsidRDefault="00A723EF" w:rsidP="00637878">
      <w:pPr>
        <w:spacing w:line="360" w:lineRule="auto"/>
        <w:jc w:val="both"/>
        <w:rPr>
          <w:rFonts w:ascii="Arial" w:hAnsi="Arial" w:cs="Arial"/>
          <w:sz w:val="24"/>
          <w:szCs w:val="24"/>
        </w:rPr>
      </w:pPr>
      <w:r>
        <w:rPr>
          <w:rFonts w:ascii="Arial" w:hAnsi="Arial" w:cs="Arial"/>
          <w:sz w:val="24"/>
          <w:szCs w:val="24"/>
        </w:rPr>
        <w:lastRenderedPageBreak/>
        <w:t>As with financial audits (per ISA 230) it is also advisable to record significant matters that arose during the investigation, conclusions reached and significant professional judgements made to reach these conclusions. Finally if the investigator finds information that is inconsistent with the final conclusion then they should document how this was addressed and why it was dismissed within their work papers.</w:t>
      </w:r>
    </w:p>
    <w:p w14:paraId="1131988F" w14:textId="5BB09BBF" w:rsidR="00F8639C" w:rsidRDefault="00A723EF" w:rsidP="00637878">
      <w:pPr>
        <w:spacing w:line="360" w:lineRule="auto"/>
        <w:jc w:val="both"/>
        <w:rPr>
          <w:rFonts w:ascii="Arial" w:hAnsi="Arial" w:cs="Arial"/>
          <w:sz w:val="24"/>
          <w:szCs w:val="24"/>
        </w:rPr>
      </w:pPr>
      <w:r>
        <w:rPr>
          <w:rFonts w:ascii="Arial" w:hAnsi="Arial" w:cs="Arial"/>
          <w:sz w:val="24"/>
          <w:szCs w:val="24"/>
        </w:rPr>
        <w:t>Work</w:t>
      </w:r>
      <w:r w:rsidR="00F8639C">
        <w:rPr>
          <w:rFonts w:ascii="Arial" w:hAnsi="Arial" w:cs="Arial"/>
          <w:sz w:val="24"/>
          <w:szCs w:val="24"/>
        </w:rPr>
        <w:t>ing</w:t>
      </w:r>
      <w:r>
        <w:rPr>
          <w:rFonts w:ascii="Arial" w:hAnsi="Arial" w:cs="Arial"/>
          <w:sz w:val="24"/>
          <w:szCs w:val="24"/>
        </w:rPr>
        <w:t xml:space="preserve"> papers </w:t>
      </w:r>
      <w:r>
        <w:rPr>
          <w:rFonts w:ascii="Arial" w:hAnsi="Arial" w:cs="Arial"/>
          <w:b/>
          <w:sz w:val="24"/>
          <w:szCs w:val="24"/>
        </w:rPr>
        <w:t xml:space="preserve">do not </w:t>
      </w:r>
      <w:r w:rsidR="00F8639C">
        <w:rPr>
          <w:rFonts w:ascii="Arial" w:hAnsi="Arial" w:cs="Arial"/>
          <w:sz w:val="24"/>
          <w:szCs w:val="24"/>
        </w:rPr>
        <w:t>include original documents used as evidence.</w:t>
      </w:r>
    </w:p>
    <w:p w14:paraId="72A0C8CA" w14:textId="2554F4D5" w:rsidR="00A723EF" w:rsidRPr="00A723EF" w:rsidRDefault="00F8639C" w:rsidP="00637878">
      <w:pPr>
        <w:spacing w:line="360" w:lineRule="auto"/>
        <w:jc w:val="both"/>
        <w:rPr>
          <w:rFonts w:ascii="Arial" w:hAnsi="Arial" w:cs="Arial"/>
          <w:b/>
          <w:sz w:val="24"/>
          <w:szCs w:val="24"/>
        </w:rPr>
      </w:pPr>
      <w:r>
        <w:rPr>
          <w:rFonts w:ascii="Arial" w:hAnsi="Arial" w:cs="Arial"/>
          <w:sz w:val="24"/>
          <w:szCs w:val="24"/>
        </w:rPr>
        <w:t>A key difference with the work papers generated, as part of a forensic accounting investigation, is that the work is often performed in a privileged environment due to the likelihood of litigation i.e. the same protection of confidential communications as applies to a lawyer. Also, due to the likely litigation, there may be a requirement</w:t>
      </w:r>
      <w:r w:rsidR="00A723EF">
        <w:rPr>
          <w:rFonts w:ascii="Arial" w:hAnsi="Arial" w:cs="Arial"/>
          <w:b/>
          <w:sz w:val="24"/>
          <w:szCs w:val="24"/>
        </w:rPr>
        <w:t xml:space="preserve"> </w:t>
      </w:r>
      <w:r w:rsidRPr="00F8639C">
        <w:rPr>
          <w:rFonts w:ascii="Arial" w:hAnsi="Arial" w:cs="Arial"/>
          <w:sz w:val="24"/>
          <w:szCs w:val="24"/>
        </w:rPr>
        <w:t>to demonstrate</w:t>
      </w:r>
      <w:r>
        <w:rPr>
          <w:rFonts w:ascii="Arial" w:hAnsi="Arial" w:cs="Arial"/>
          <w:sz w:val="24"/>
          <w:szCs w:val="24"/>
        </w:rPr>
        <w:t xml:space="preserve"> the chain of custody of evidence, which must also be covered in the working papers.</w:t>
      </w:r>
    </w:p>
    <w:p w14:paraId="660AF458" w14:textId="77777777" w:rsidR="00A723EF" w:rsidRPr="00637878" w:rsidRDefault="00A723EF" w:rsidP="00637878">
      <w:pPr>
        <w:spacing w:line="360" w:lineRule="auto"/>
        <w:jc w:val="both"/>
        <w:rPr>
          <w:rFonts w:ascii="Arial" w:hAnsi="Arial" w:cs="Arial"/>
          <w:sz w:val="24"/>
          <w:szCs w:val="24"/>
        </w:rPr>
      </w:pPr>
    </w:p>
    <w:p w14:paraId="48A00D39" w14:textId="443FDEDB" w:rsidR="008A2CA7" w:rsidRDefault="008A2CA7" w:rsidP="008A2CA7">
      <w:pPr>
        <w:spacing w:line="360" w:lineRule="auto"/>
        <w:jc w:val="both"/>
        <w:rPr>
          <w:rFonts w:ascii="Arial" w:hAnsi="Arial" w:cs="Arial"/>
          <w:b/>
          <w:sz w:val="24"/>
          <w:szCs w:val="24"/>
        </w:rPr>
      </w:pPr>
      <w:r>
        <w:rPr>
          <w:rFonts w:ascii="Arial" w:hAnsi="Arial" w:cs="Arial"/>
          <w:b/>
          <w:sz w:val="24"/>
          <w:szCs w:val="24"/>
        </w:rPr>
        <w:t xml:space="preserve">Q1 – III – </w:t>
      </w:r>
      <w:r w:rsidR="00F8639C">
        <w:rPr>
          <w:rFonts w:ascii="Arial" w:hAnsi="Arial" w:cs="Arial"/>
          <w:b/>
          <w:sz w:val="24"/>
          <w:szCs w:val="24"/>
        </w:rPr>
        <w:t xml:space="preserve">Evidence gathered in financial crime cases is different from the one gathered in non-financial crime cases. What is the basic difference in the composition of the two types of </w:t>
      </w:r>
      <w:proofErr w:type="gramStart"/>
      <w:r w:rsidR="00F8639C">
        <w:rPr>
          <w:rFonts w:ascii="Arial" w:hAnsi="Arial" w:cs="Arial"/>
          <w:b/>
          <w:sz w:val="24"/>
          <w:szCs w:val="24"/>
        </w:rPr>
        <w:t>evi</w:t>
      </w:r>
      <w:r w:rsidR="00F50B50">
        <w:rPr>
          <w:rFonts w:ascii="Arial" w:hAnsi="Arial" w:cs="Arial"/>
          <w:b/>
          <w:sz w:val="24"/>
          <w:szCs w:val="24"/>
        </w:rPr>
        <w:t>d</w:t>
      </w:r>
      <w:r w:rsidR="00F8639C">
        <w:rPr>
          <w:rFonts w:ascii="Arial" w:hAnsi="Arial" w:cs="Arial"/>
          <w:b/>
          <w:sz w:val="24"/>
          <w:szCs w:val="24"/>
        </w:rPr>
        <w:t>ence.</w:t>
      </w:r>
      <w:proofErr w:type="gramEnd"/>
    </w:p>
    <w:p w14:paraId="601B845A" w14:textId="1968636A" w:rsidR="00F50B50" w:rsidRDefault="00F50B50" w:rsidP="008A2CA7">
      <w:pPr>
        <w:spacing w:line="360" w:lineRule="auto"/>
        <w:jc w:val="both"/>
        <w:rPr>
          <w:rFonts w:ascii="Arial" w:hAnsi="Arial" w:cs="Arial"/>
          <w:sz w:val="24"/>
          <w:szCs w:val="24"/>
        </w:rPr>
      </w:pPr>
      <w:r>
        <w:rPr>
          <w:rFonts w:ascii="Arial" w:hAnsi="Arial" w:cs="Arial"/>
          <w:sz w:val="24"/>
          <w:szCs w:val="24"/>
        </w:rPr>
        <w:t>Regardless of whether it is a financial, or non-financial, criminal case successful conviction comes down to the lawyer being able to meet the bu</w:t>
      </w:r>
      <w:r w:rsidR="002E6DAB">
        <w:rPr>
          <w:rFonts w:ascii="Arial" w:hAnsi="Arial" w:cs="Arial"/>
          <w:sz w:val="24"/>
          <w:szCs w:val="24"/>
        </w:rPr>
        <w:t>rden of proof. It is up to the P</w:t>
      </w:r>
      <w:r>
        <w:rPr>
          <w:rFonts w:ascii="Arial" w:hAnsi="Arial" w:cs="Arial"/>
          <w:sz w:val="24"/>
          <w:szCs w:val="24"/>
        </w:rPr>
        <w:t>rosecutor to prove “beyond a reasonable doubt” that the accused intentionally committed the crime. Legal cases are proven through inferences, resulting from the evidence. If the inferences are weak i.e. there is not a strong link between the evidence and the conclusion, then the probability of conviction reduces dramatically. The most successful evidence is that which can support linking of inferences, to guilt, in a logical and linear way.</w:t>
      </w:r>
    </w:p>
    <w:p w14:paraId="26212833" w14:textId="158893A9" w:rsidR="000B4757" w:rsidRDefault="00F50B50" w:rsidP="008A2CA7">
      <w:pPr>
        <w:spacing w:line="360" w:lineRule="auto"/>
        <w:jc w:val="both"/>
        <w:rPr>
          <w:rFonts w:ascii="Arial" w:hAnsi="Arial" w:cs="Arial"/>
          <w:sz w:val="24"/>
          <w:szCs w:val="24"/>
        </w:rPr>
      </w:pPr>
      <w:r>
        <w:rPr>
          <w:rFonts w:ascii="Arial" w:hAnsi="Arial" w:cs="Arial"/>
          <w:sz w:val="24"/>
          <w:szCs w:val="24"/>
        </w:rPr>
        <w:t>By their nature non-financial crimes are generally less complex and therefore prosecutors are more likely to use ‘real’ evidence i.e. physical evidence such as guns, knives and fingerprints. For example if a prosecutor is attempting to convict a shop burglar they may have witnesses a</w:t>
      </w:r>
      <w:r w:rsidR="002E6DAB">
        <w:rPr>
          <w:rFonts w:ascii="Arial" w:hAnsi="Arial" w:cs="Arial"/>
          <w:sz w:val="24"/>
          <w:szCs w:val="24"/>
        </w:rPr>
        <w:t>nd / or security camera footage,</w:t>
      </w:r>
      <w:r>
        <w:rPr>
          <w:rFonts w:ascii="Arial" w:hAnsi="Arial" w:cs="Arial"/>
          <w:sz w:val="24"/>
          <w:szCs w:val="24"/>
        </w:rPr>
        <w:t xml:space="preserve"> they may have found the stolen goods in the possession of the suspect or recovered the stolen goods with the fingerprints of the suspect on them, with no logical reason as to how else they got there. Non-financial criminals may be part of a gang / partnership and </w:t>
      </w:r>
      <w:r>
        <w:rPr>
          <w:rFonts w:ascii="Arial" w:hAnsi="Arial" w:cs="Arial"/>
          <w:sz w:val="24"/>
          <w:szCs w:val="24"/>
        </w:rPr>
        <w:lastRenderedPageBreak/>
        <w:t>are more likely to be repeat offenders. Therefore</w:t>
      </w:r>
      <w:r w:rsidR="000B4757">
        <w:rPr>
          <w:rFonts w:ascii="Arial" w:hAnsi="Arial" w:cs="Arial"/>
          <w:sz w:val="24"/>
          <w:szCs w:val="24"/>
        </w:rPr>
        <w:t xml:space="preserve"> there is a higher probability of the investigation leading to a situation where the offender is caught in the act of completing another crime.</w:t>
      </w:r>
    </w:p>
    <w:p w14:paraId="78144F34" w14:textId="046E914E" w:rsidR="000B4757" w:rsidRDefault="000B4757" w:rsidP="008A2CA7">
      <w:pPr>
        <w:spacing w:line="360" w:lineRule="auto"/>
        <w:jc w:val="both"/>
        <w:rPr>
          <w:rFonts w:ascii="Arial" w:hAnsi="Arial" w:cs="Arial"/>
          <w:sz w:val="24"/>
          <w:szCs w:val="24"/>
        </w:rPr>
      </w:pPr>
      <w:r>
        <w:rPr>
          <w:rFonts w:ascii="Arial" w:hAnsi="Arial" w:cs="Arial"/>
          <w:sz w:val="24"/>
          <w:szCs w:val="24"/>
        </w:rPr>
        <w:t>Not all investigations produce such clear-cut examples of evidence but generally the quantum of evidence required in a non-financial crime is less and the availability of documentary evidence will also be less.</w:t>
      </w:r>
    </w:p>
    <w:p w14:paraId="399CD3B3" w14:textId="77777777" w:rsidR="000B4757" w:rsidRDefault="000B4757" w:rsidP="008A2CA7">
      <w:pPr>
        <w:spacing w:line="360" w:lineRule="auto"/>
        <w:jc w:val="both"/>
        <w:rPr>
          <w:rFonts w:ascii="Arial" w:hAnsi="Arial" w:cs="Arial"/>
          <w:sz w:val="24"/>
          <w:szCs w:val="24"/>
        </w:rPr>
      </w:pPr>
      <w:r>
        <w:rPr>
          <w:rFonts w:ascii="Arial" w:hAnsi="Arial" w:cs="Arial"/>
          <w:sz w:val="24"/>
          <w:szCs w:val="24"/>
        </w:rPr>
        <w:t>On the other hand financial crimes are generally more complex, and generally require the need to follow a paper trail. The investigation is most likely to be reactive, with the collection of historical documents generally making up the majority of the evidence. While video recordings, or witness statements, can form part of the evidence gathered for a financial crime it is less likely that this will relate to catching the suspect in the act of committing the crime and more likely that it relates to facts surrounding the case e.g. a statement from a victim of the crime.</w:t>
      </w:r>
    </w:p>
    <w:p w14:paraId="26A6FBD0" w14:textId="77777777" w:rsidR="00636875" w:rsidRDefault="00762F76" w:rsidP="008A2CA7">
      <w:pPr>
        <w:spacing w:line="360" w:lineRule="auto"/>
        <w:jc w:val="both"/>
        <w:rPr>
          <w:rFonts w:ascii="Arial" w:hAnsi="Arial" w:cs="Arial"/>
          <w:sz w:val="24"/>
          <w:szCs w:val="24"/>
        </w:rPr>
      </w:pPr>
      <w:r>
        <w:rPr>
          <w:rFonts w:ascii="Arial" w:hAnsi="Arial" w:cs="Arial"/>
          <w:sz w:val="24"/>
          <w:szCs w:val="24"/>
        </w:rPr>
        <w:t>For example if a prosecutor is attempting to convict a payroll manager of payroll fraud, associated with a ghost employee, the key sources of evidence are likely to come from the company HR system e.g. the ghost employees personnel records, the payroll system e.g. the ghost employees pay slips and the suspects bank records, showing receipt of the fraudulent funds. Even in a relatively ‘simple’ financial crime such as this payroll fraud the investigation can result in hundreds of pieces of documentary evidence being submitted.</w:t>
      </w:r>
    </w:p>
    <w:p w14:paraId="6E9E2CEA" w14:textId="353C1B4A" w:rsidR="00F50B50" w:rsidRDefault="00636875" w:rsidP="008A2CA7">
      <w:pPr>
        <w:spacing w:line="360" w:lineRule="auto"/>
        <w:jc w:val="both"/>
        <w:rPr>
          <w:rFonts w:ascii="Arial" w:hAnsi="Arial" w:cs="Arial"/>
          <w:sz w:val="24"/>
          <w:szCs w:val="24"/>
        </w:rPr>
      </w:pPr>
      <w:r>
        <w:rPr>
          <w:rFonts w:ascii="Arial" w:hAnsi="Arial" w:cs="Arial"/>
          <w:sz w:val="24"/>
          <w:szCs w:val="24"/>
        </w:rPr>
        <w:t xml:space="preserve">In Forensic Accounting and Fraud Investigation for Non-Experts by Howard Silverstone and Michael </w:t>
      </w:r>
      <w:proofErr w:type="spellStart"/>
      <w:r>
        <w:rPr>
          <w:rFonts w:ascii="Arial" w:hAnsi="Arial" w:cs="Arial"/>
          <w:sz w:val="24"/>
          <w:szCs w:val="24"/>
        </w:rPr>
        <w:t>Sheelz</w:t>
      </w:r>
      <w:proofErr w:type="spellEnd"/>
      <w:r>
        <w:rPr>
          <w:rFonts w:ascii="Arial" w:hAnsi="Arial" w:cs="Arial"/>
          <w:sz w:val="24"/>
          <w:szCs w:val="24"/>
        </w:rPr>
        <w:t xml:space="preserve"> they state that the average non-financial crime probably has several hundred pieces of physical or documentary evidence, while many complex financial crimes have thousands of pieces of physical and documentary evidence. This is due to the higher composition of documentary evidence.</w:t>
      </w:r>
    </w:p>
    <w:p w14:paraId="452DFF80" w14:textId="77777777" w:rsidR="00F50B50" w:rsidRPr="00F50B50" w:rsidRDefault="00F50B50" w:rsidP="008A2CA7">
      <w:pPr>
        <w:spacing w:line="360" w:lineRule="auto"/>
        <w:jc w:val="both"/>
        <w:rPr>
          <w:rFonts w:ascii="Arial" w:hAnsi="Arial" w:cs="Arial"/>
          <w:sz w:val="24"/>
          <w:szCs w:val="24"/>
        </w:rPr>
      </w:pPr>
    </w:p>
    <w:p w14:paraId="1E7EEF4F" w14:textId="77777777" w:rsidR="00935AC5" w:rsidRDefault="00935AC5">
      <w:pPr>
        <w:rPr>
          <w:rFonts w:ascii="Arial" w:hAnsi="Arial" w:cs="Arial"/>
          <w:b/>
          <w:sz w:val="24"/>
          <w:szCs w:val="24"/>
        </w:rPr>
      </w:pPr>
      <w:r>
        <w:rPr>
          <w:rFonts w:ascii="Arial" w:hAnsi="Arial" w:cs="Arial"/>
          <w:b/>
          <w:sz w:val="24"/>
          <w:szCs w:val="24"/>
        </w:rPr>
        <w:br w:type="page"/>
      </w:r>
    </w:p>
    <w:p w14:paraId="67FB820F" w14:textId="041115D3" w:rsidR="00243731" w:rsidRDefault="008D404B" w:rsidP="00F01256">
      <w:pPr>
        <w:jc w:val="both"/>
        <w:rPr>
          <w:rFonts w:ascii="Arial" w:hAnsi="Arial" w:cs="Arial"/>
          <w:b/>
          <w:sz w:val="24"/>
          <w:szCs w:val="24"/>
        </w:rPr>
      </w:pPr>
      <w:r>
        <w:rPr>
          <w:rFonts w:ascii="Arial" w:hAnsi="Arial" w:cs="Arial"/>
          <w:b/>
          <w:sz w:val="24"/>
          <w:szCs w:val="24"/>
        </w:rPr>
        <w:lastRenderedPageBreak/>
        <w:t>Question 2</w:t>
      </w:r>
      <w:r w:rsidR="00243731" w:rsidRPr="00817F89">
        <w:rPr>
          <w:rFonts w:ascii="Arial" w:hAnsi="Arial" w:cs="Arial"/>
          <w:b/>
          <w:sz w:val="24"/>
          <w:szCs w:val="24"/>
        </w:rPr>
        <w:t xml:space="preserve"> – </w:t>
      </w:r>
      <w:r w:rsidR="00F50B50">
        <w:rPr>
          <w:rFonts w:ascii="Arial" w:hAnsi="Arial" w:cs="Arial"/>
          <w:b/>
          <w:sz w:val="24"/>
          <w:szCs w:val="24"/>
        </w:rPr>
        <w:t>Evidence is required to support any investigation of financial crime. Discuss various types of evidence used in financial crime investigations.</w:t>
      </w:r>
    </w:p>
    <w:p w14:paraId="63FCBC7D" w14:textId="07475EB6" w:rsidR="00C56CC1" w:rsidRDefault="008770BA" w:rsidP="00F01256">
      <w:pPr>
        <w:jc w:val="both"/>
        <w:rPr>
          <w:rFonts w:ascii="Arial" w:hAnsi="Arial" w:cs="Arial"/>
          <w:sz w:val="24"/>
          <w:szCs w:val="24"/>
        </w:rPr>
      </w:pPr>
      <w:r>
        <w:rPr>
          <w:rFonts w:ascii="Arial" w:hAnsi="Arial" w:cs="Arial"/>
          <w:sz w:val="24"/>
          <w:szCs w:val="24"/>
        </w:rPr>
        <w:t>The type of evidence utilised to prove financial crime can vary depen</w:t>
      </w:r>
      <w:r w:rsidR="002E6DAB">
        <w:rPr>
          <w:rFonts w:ascii="Arial" w:hAnsi="Arial" w:cs="Arial"/>
          <w:sz w:val="24"/>
          <w:szCs w:val="24"/>
        </w:rPr>
        <w:t>ding on the nature of the crime, h</w:t>
      </w:r>
      <w:r>
        <w:rPr>
          <w:rFonts w:ascii="Arial" w:hAnsi="Arial" w:cs="Arial"/>
          <w:sz w:val="24"/>
          <w:szCs w:val="24"/>
        </w:rPr>
        <w:t>owever, the below list covers the most common types of evidence utilised.</w:t>
      </w:r>
    </w:p>
    <w:p w14:paraId="0811FB66" w14:textId="31EBF29E" w:rsidR="008770BA" w:rsidRPr="008770BA" w:rsidRDefault="008770BA" w:rsidP="008770BA">
      <w:pPr>
        <w:pStyle w:val="ListParagraph"/>
        <w:numPr>
          <w:ilvl w:val="0"/>
          <w:numId w:val="21"/>
        </w:numPr>
        <w:ind w:left="426" w:hanging="284"/>
        <w:jc w:val="both"/>
        <w:rPr>
          <w:rFonts w:ascii="Arial" w:hAnsi="Arial" w:cs="Arial"/>
          <w:b/>
          <w:sz w:val="24"/>
          <w:szCs w:val="24"/>
        </w:rPr>
      </w:pPr>
      <w:r>
        <w:rPr>
          <w:rFonts w:ascii="Arial" w:hAnsi="Arial" w:cs="Arial"/>
          <w:b/>
          <w:sz w:val="24"/>
          <w:szCs w:val="24"/>
        </w:rPr>
        <w:t xml:space="preserve">Witness testimony – </w:t>
      </w:r>
      <w:r>
        <w:rPr>
          <w:rFonts w:ascii="Arial" w:hAnsi="Arial" w:cs="Arial"/>
          <w:sz w:val="24"/>
          <w:szCs w:val="24"/>
        </w:rPr>
        <w:t xml:space="preserve">Witnesses utilized to prove financial crime vary but may include the victim, a co-worker who observed suspicious behavior, a private investigator who witnessed the suspect handing over a cash payment to a government official or an expert witness called upon to explain the complexities of how a </w:t>
      </w:r>
      <w:r w:rsidR="00167BC6">
        <w:rPr>
          <w:rFonts w:ascii="Arial" w:hAnsi="Arial" w:cs="Arial"/>
          <w:sz w:val="24"/>
          <w:szCs w:val="24"/>
        </w:rPr>
        <w:t xml:space="preserve">specific </w:t>
      </w:r>
      <w:r>
        <w:rPr>
          <w:rFonts w:ascii="Arial" w:hAnsi="Arial" w:cs="Arial"/>
          <w:sz w:val="24"/>
          <w:szCs w:val="24"/>
        </w:rPr>
        <w:t xml:space="preserve">fraudulent transaction was tracked through the companies systems. Other than in rare occasions e.g. death, the witness must appear in court to present their evidence, however, it is advisable to obtain written, signed statements. Note in some circumstance the witness may be permitted to present their evidence by way of a video link, rather than being physically present in the courtroom. </w:t>
      </w:r>
    </w:p>
    <w:p w14:paraId="5333F4E6" w14:textId="3D6B4119" w:rsidR="008770BA" w:rsidRDefault="008770BA" w:rsidP="008770BA">
      <w:pPr>
        <w:pStyle w:val="ListParagraph"/>
        <w:ind w:left="426"/>
        <w:jc w:val="both"/>
        <w:rPr>
          <w:rFonts w:ascii="Arial" w:hAnsi="Arial" w:cs="Arial"/>
          <w:sz w:val="24"/>
          <w:szCs w:val="24"/>
        </w:rPr>
      </w:pPr>
      <w:r w:rsidRPr="008770BA">
        <w:rPr>
          <w:rFonts w:ascii="Arial" w:hAnsi="Arial" w:cs="Arial"/>
          <w:sz w:val="24"/>
          <w:szCs w:val="24"/>
        </w:rPr>
        <w:t>A signed statement</w:t>
      </w:r>
      <w:r>
        <w:rPr>
          <w:rFonts w:ascii="Arial" w:hAnsi="Arial" w:cs="Arial"/>
          <w:sz w:val="24"/>
          <w:szCs w:val="24"/>
        </w:rPr>
        <w:t xml:space="preserve"> will provide the investigator with a backup in case of unforeseen circumstances or if the witness changes their version of the events; this may occur in cases where the witness is later implicated in the crime.</w:t>
      </w:r>
    </w:p>
    <w:p w14:paraId="660FFCFC" w14:textId="77777777" w:rsidR="008770BA" w:rsidRDefault="008770BA" w:rsidP="008770BA">
      <w:pPr>
        <w:pStyle w:val="ListParagraph"/>
        <w:ind w:left="426"/>
        <w:jc w:val="both"/>
        <w:rPr>
          <w:rFonts w:ascii="Arial" w:hAnsi="Arial" w:cs="Arial"/>
          <w:sz w:val="24"/>
          <w:szCs w:val="24"/>
        </w:rPr>
      </w:pPr>
      <w:r>
        <w:rPr>
          <w:rFonts w:ascii="Arial" w:hAnsi="Arial" w:cs="Arial"/>
          <w:sz w:val="24"/>
          <w:szCs w:val="24"/>
        </w:rPr>
        <w:t xml:space="preserve">As with all evidence, witness testimony must be relevant but to be most effective the witness themselves must be seen as credible e.g. not a convicted felon or someone with an obvious bias against the perpetrator. </w:t>
      </w:r>
    </w:p>
    <w:p w14:paraId="37832690" w14:textId="1361C7C6" w:rsidR="008770BA" w:rsidRDefault="008770BA" w:rsidP="008770BA">
      <w:pPr>
        <w:pStyle w:val="ListParagraph"/>
        <w:ind w:left="426"/>
        <w:jc w:val="both"/>
        <w:rPr>
          <w:rFonts w:ascii="Arial" w:hAnsi="Arial" w:cs="Arial"/>
          <w:sz w:val="24"/>
          <w:szCs w:val="24"/>
        </w:rPr>
      </w:pPr>
      <w:r>
        <w:rPr>
          <w:rFonts w:ascii="Arial" w:hAnsi="Arial" w:cs="Arial"/>
          <w:sz w:val="24"/>
          <w:szCs w:val="24"/>
        </w:rPr>
        <w:t>Hearsay witness testimony e.g. information obtained through overhearing another’s conversation is generally disallowed as evidence in court, although it may be useful to the investigator during the evidence collection process.</w:t>
      </w:r>
    </w:p>
    <w:p w14:paraId="7690282A" w14:textId="1DB54E97" w:rsidR="008770BA" w:rsidRPr="008770BA" w:rsidRDefault="008770BA" w:rsidP="008770BA">
      <w:pPr>
        <w:pStyle w:val="ListParagraph"/>
        <w:ind w:left="426"/>
        <w:jc w:val="both"/>
        <w:rPr>
          <w:rFonts w:ascii="Arial" w:hAnsi="Arial" w:cs="Arial"/>
          <w:sz w:val="24"/>
          <w:szCs w:val="24"/>
        </w:rPr>
      </w:pPr>
      <w:r>
        <w:rPr>
          <w:rFonts w:ascii="Arial" w:hAnsi="Arial" w:cs="Arial"/>
          <w:sz w:val="24"/>
          <w:szCs w:val="24"/>
        </w:rPr>
        <w:t>Regardless of the nature of the witness testimony the investigator should always look for other evidence</w:t>
      </w:r>
      <w:r w:rsidR="001F2250">
        <w:rPr>
          <w:rFonts w:ascii="Arial" w:hAnsi="Arial" w:cs="Arial"/>
          <w:sz w:val="24"/>
          <w:szCs w:val="24"/>
        </w:rPr>
        <w:t>,</w:t>
      </w:r>
      <w:r>
        <w:rPr>
          <w:rFonts w:ascii="Arial" w:hAnsi="Arial" w:cs="Arial"/>
          <w:sz w:val="24"/>
          <w:szCs w:val="24"/>
        </w:rPr>
        <w:t xml:space="preserve"> which corroborates the testimony.</w:t>
      </w:r>
    </w:p>
    <w:p w14:paraId="1A489EC4" w14:textId="334462EF" w:rsidR="00025C63" w:rsidRDefault="008770BA" w:rsidP="008770BA">
      <w:pPr>
        <w:pStyle w:val="ListParagraph"/>
        <w:numPr>
          <w:ilvl w:val="0"/>
          <w:numId w:val="21"/>
        </w:numPr>
        <w:ind w:left="426" w:hanging="284"/>
        <w:jc w:val="both"/>
        <w:rPr>
          <w:rFonts w:ascii="Arial" w:hAnsi="Arial" w:cs="Arial"/>
          <w:b/>
          <w:sz w:val="24"/>
          <w:szCs w:val="24"/>
        </w:rPr>
      </w:pPr>
      <w:r>
        <w:rPr>
          <w:rFonts w:ascii="Arial" w:hAnsi="Arial" w:cs="Arial"/>
          <w:b/>
          <w:sz w:val="24"/>
          <w:szCs w:val="24"/>
        </w:rPr>
        <w:t xml:space="preserve">Documentary evidence </w:t>
      </w:r>
      <w:r w:rsidR="00025C63">
        <w:rPr>
          <w:rFonts w:ascii="Arial" w:hAnsi="Arial" w:cs="Arial"/>
          <w:b/>
          <w:sz w:val="24"/>
          <w:szCs w:val="24"/>
        </w:rPr>
        <w:t>–</w:t>
      </w:r>
      <w:r>
        <w:rPr>
          <w:rFonts w:ascii="Arial" w:hAnsi="Arial" w:cs="Arial"/>
          <w:b/>
          <w:sz w:val="24"/>
          <w:szCs w:val="24"/>
        </w:rPr>
        <w:t xml:space="preserve"> </w:t>
      </w:r>
    </w:p>
    <w:p w14:paraId="7F3BEA1A" w14:textId="43C76E3E" w:rsidR="00025C63" w:rsidRDefault="00025C63" w:rsidP="00025C63">
      <w:pPr>
        <w:pStyle w:val="ListParagraph"/>
        <w:ind w:left="426"/>
        <w:jc w:val="both"/>
        <w:rPr>
          <w:rFonts w:ascii="Arial" w:hAnsi="Arial" w:cs="Arial"/>
          <w:sz w:val="24"/>
          <w:szCs w:val="24"/>
        </w:rPr>
      </w:pPr>
      <w:r>
        <w:rPr>
          <w:rFonts w:ascii="Arial" w:hAnsi="Arial" w:cs="Arial"/>
          <w:sz w:val="24"/>
          <w:szCs w:val="24"/>
        </w:rPr>
        <w:t>This is the most common type of evidence utilized in financial crime cases as often the proof can only be obtained by following a paper trail. To be admissible in court the documentary evidence must be relevant, contain admissible direct, or circumstantial</w:t>
      </w:r>
      <w:r w:rsidR="00167BC6">
        <w:rPr>
          <w:rFonts w:ascii="Arial" w:hAnsi="Arial" w:cs="Arial"/>
          <w:sz w:val="24"/>
          <w:szCs w:val="24"/>
        </w:rPr>
        <w:t>,</w:t>
      </w:r>
      <w:r>
        <w:rPr>
          <w:rFonts w:ascii="Arial" w:hAnsi="Arial" w:cs="Arial"/>
          <w:sz w:val="24"/>
          <w:szCs w:val="24"/>
        </w:rPr>
        <w:t xml:space="preserve"> evidence of the facts and be authenticated.</w:t>
      </w:r>
    </w:p>
    <w:p w14:paraId="05CBC596" w14:textId="77777777" w:rsidR="00025C63" w:rsidRDefault="00025C63" w:rsidP="00025C63">
      <w:pPr>
        <w:pStyle w:val="ListParagraph"/>
        <w:ind w:left="426"/>
        <w:jc w:val="both"/>
        <w:rPr>
          <w:rFonts w:ascii="Arial" w:hAnsi="Arial" w:cs="Arial"/>
          <w:sz w:val="24"/>
          <w:szCs w:val="24"/>
        </w:rPr>
      </w:pPr>
      <w:r>
        <w:rPr>
          <w:rFonts w:ascii="Arial" w:hAnsi="Arial" w:cs="Arial"/>
          <w:sz w:val="24"/>
          <w:szCs w:val="24"/>
        </w:rPr>
        <w:t>Documentary evidence may include bank statements demonstrating unusual deposits, invoices from both the vendor and the company accounting system demonstrating that the original invoice was altered prior to payment, expense claims demonstrating that the perpetrator consistently claimed multiple times for the same expense, legal documents demonstrating that the perpetrator entered into a financial contract at a value well in excess of obvious income or public records proving ownership of an asset where there is no record of purchase.</w:t>
      </w:r>
    </w:p>
    <w:p w14:paraId="5525AA78" w14:textId="0BC1A107" w:rsidR="00D453D2" w:rsidRDefault="00025C63" w:rsidP="00025C63">
      <w:pPr>
        <w:pStyle w:val="ListParagraph"/>
        <w:ind w:left="426"/>
        <w:jc w:val="both"/>
        <w:rPr>
          <w:rFonts w:ascii="Arial" w:hAnsi="Arial" w:cs="Arial"/>
          <w:sz w:val="24"/>
          <w:szCs w:val="24"/>
        </w:rPr>
      </w:pPr>
      <w:r>
        <w:rPr>
          <w:rFonts w:ascii="Arial" w:hAnsi="Arial" w:cs="Arial"/>
          <w:sz w:val="24"/>
          <w:szCs w:val="24"/>
        </w:rPr>
        <w:t>Documented evidence may also be</w:t>
      </w:r>
      <w:r w:rsidR="00167BC6">
        <w:rPr>
          <w:rFonts w:ascii="Arial" w:hAnsi="Arial" w:cs="Arial"/>
          <w:sz w:val="24"/>
          <w:szCs w:val="24"/>
        </w:rPr>
        <w:t xml:space="preserve"> generated from electronic sources</w:t>
      </w:r>
      <w:r>
        <w:rPr>
          <w:rFonts w:ascii="Arial" w:hAnsi="Arial" w:cs="Arial"/>
          <w:sz w:val="24"/>
          <w:szCs w:val="24"/>
        </w:rPr>
        <w:t xml:space="preserve"> e.g. emails. Care must be taken with the collection of electronic records so as to </w:t>
      </w:r>
      <w:r>
        <w:rPr>
          <w:rFonts w:ascii="Arial" w:hAnsi="Arial" w:cs="Arial"/>
          <w:sz w:val="24"/>
          <w:szCs w:val="24"/>
        </w:rPr>
        <w:lastRenderedPageBreak/>
        <w:t>reduce the risk of the Defense claiming that it has been altered, or cor</w:t>
      </w:r>
      <w:r w:rsidR="00167BC6">
        <w:rPr>
          <w:rFonts w:ascii="Arial" w:hAnsi="Arial" w:cs="Arial"/>
          <w:sz w:val="24"/>
          <w:szCs w:val="24"/>
        </w:rPr>
        <w:t>rupted, and therefore leading</w:t>
      </w:r>
      <w:r>
        <w:rPr>
          <w:rFonts w:ascii="Arial" w:hAnsi="Arial" w:cs="Arial"/>
          <w:sz w:val="24"/>
          <w:szCs w:val="24"/>
        </w:rPr>
        <w:t xml:space="preserve"> to </w:t>
      </w:r>
      <w:r w:rsidR="00167BC6">
        <w:rPr>
          <w:rFonts w:ascii="Arial" w:hAnsi="Arial" w:cs="Arial"/>
          <w:sz w:val="24"/>
          <w:szCs w:val="24"/>
        </w:rPr>
        <w:t xml:space="preserve">it </w:t>
      </w:r>
      <w:r>
        <w:rPr>
          <w:rFonts w:ascii="Arial" w:hAnsi="Arial" w:cs="Arial"/>
          <w:sz w:val="24"/>
          <w:szCs w:val="24"/>
        </w:rPr>
        <w:t>be</w:t>
      </w:r>
      <w:r w:rsidR="00167BC6">
        <w:rPr>
          <w:rFonts w:ascii="Arial" w:hAnsi="Arial" w:cs="Arial"/>
          <w:sz w:val="24"/>
          <w:szCs w:val="24"/>
        </w:rPr>
        <w:t>ing</w:t>
      </w:r>
      <w:r>
        <w:rPr>
          <w:rFonts w:ascii="Arial" w:hAnsi="Arial" w:cs="Arial"/>
          <w:sz w:val="24"/>
          <w:szCs w:val="24"/>
        </w:rPr>
        <w:t xml:space="preserve"> dismissed as admissible evidence.</w:t>
      </w:r>
      <w:r w:rsidR="008770BA">
        <w:rPr>
          <w:rFonts w:ascii="Arial" w:hAnsi="Arial" w:cs="Arial"/>
          <w:sz w:val="24"/>
          <w:szCs w:val="24"/>
        </w:rPr>
        <w:t xml:space="preserve"> </w:t>
      </w:r>
    </w:p>
    <w:p w14:paraId="5972D2C4" w14:textId="603EA14A" w:rsidR="008770BA" w:rsidRPr="001F2250" w:rsidRDefault="00D453D2" w:rsidP="00025C63">
      <w:pPr>
        <w:pStyle w:val="ListParagraph"/>
        <w:ind w:left="426"/>
        <w:jc w:val="both"/>
        <w:rPr>
          <w:rFonts w:ascii="Arial" w:hAnsi="Arial" w:cs="Arial"/>
          <w:b/>
          <w:sz w:val="24"/>
          <w:szCs w:val="24"/>
        </w:rPr>
      </w:pPr>
      <w:r>
        <w:rPr>
          <w:rFonts w:ascii="Arial" w:hAnsi="Arial" w:cs="Arial"/>
          <w:sz w:val="24"/>
          <w:szCs w:val="24"/>
        </w:rPr>
        <w:t xml:space="preserve">Documentary evidence can be very powerful in court as it is not subject to the vagaries of memory, exaggeration of interpretation. </w:t>
      </w:r>
      <w:r w:rsidR="008770BA">
        <w:rPr>
          <w:rFonts w:ascii="Arial" w:hAnsi="Arial" w:cs="Arial"/>
          <w:sz w:val="24"/>
          <w:szCs w:val="24"/>
        </w:rPr>
        <w:t xml:space="preserve"> </w:t>
      </w:r>
    </w:p>
    <w:p w14:paraId="4F94B9B1" w14:textId="6F32A06F" w:rsidR="001F2250" w:rsidRDefault="001F2250" w:rsidP="008770BA">
      <w:pPr>
        <w:pStyle w:val="ListParagraph"/>
        <w:numPr>
          <w:ilvl w:val="0"/>
          <w:numId w:val="21"/>
        </w:numPr>
        <w:ind w:left="426" w:hanging="284"/>
        <w:jc w:val="both"/>
        <w:rPr>
          <w:rFonts w:ascii="Arial" w:hAnsi="Arial" w:cs="Arial"/>
          <w:b/>
          <w:sz w:val="24"/>
          <w:szCs w:val="24"/>
        </w:rPr>
      </w:pPr>
      <w:r>
        <w:rPr>
          <w:rFonts w:ascii="Arial" w:hAnsi="Arial" w:cs="Arial"/>
          <w:b/>
          <w:sz w:val="24"/>
          <w:szCs w:val="24"/>
        </w:rPr>
        <w:t xml:space="preserve">Real or physical evidence </w:t>
      </w:r>
      <w:r w:rsidR="00270BBD">
        <w:rPr>
          <w:rFonts w:ascii="Arial" w:hAnsi="Arial" w:cs="Arial"/>
          <w:b/>
          <w:sz w:val="24"/>
          <w:szCs w:val="24"/>
        </w:rPr>
        <w:t>–</w:t>
      </w:r>
      <w:r>
        <w:rPr>
          <w:rFonts w:ascii="Arial" w:hAnsi="Arial" w:cs="Arial"/>
          <w:b/>
          <w:sz w:val="24"/>
          <w:szCs w:val="24"/>
        </w:rPr>
        <w:t xml:space="preserve"> </w:t>
      </w:r>
    </w:p>
    <w:p w14:paraId="5DBE6B8C" w14:textId="48B58BE0" w:rsidR="00D453D2" w:rsidRPr="00D453D2" w:rsidRDefault="00167BC6" w:rsidP="00D453D2">
      <w:pPr>
        <w:pStyle w:val="ListParagraph"/>
        <w:ind w:left="426"/>
        <w:jc w:val="both"/>
        <w:rPr>
          <w:rFonts w:ascii="Arial" w:hAnsi="Arial" w:cs="Arial"/>
          <w:sz w:val="24"/>
          <w:szCs w:val="24"/>
        </w:rPr>
      </w:pPr>
      <w:r>
        <w:rPr>
          <w:rFonts w:ascii="Arial" w:hAnsi="Arial" w:cs="Arial"/>
          <w:sz w:val="24"/>
          <w:szCs w:val="24"/>
        </w:rPr>
        <w:t>In financial crime cases t</w:t>
      </w:r>
      <w:r w:rsidR="00630855">
        <w:rPr>
          <w:rFonts w:ascii="Arial" w:hAnsi="Arial" w:cs="Arial"/>
          <w:sz w:val="24"/>
          <w:szCs w:val="24"/>
        </w:rPr>
        <w:t>his may include finding a credit card</w:t>
      </w:r>
      <w:r w:rsidR="00381763">
        <w:rPr>
          <w:rFonts w:ascii="Arial" w:hAnsi="Arial" w:cs="Arial"/>
          <w:sz w:val="24"/>
          <w:szCs w:val="24"/>
        </w:rPr>
        <w:t xml:space="preserve">, driver’s license or passport on the perpetrator in a name other than </w:t>
      </w:r>
      <w:r w:rsidR="00134E8E">
        <w:rPr>
          <w:rFonts w:ascii="Arial" w:hAnsi="Arial" w:cs="Arial"/>
          <w:sz w:val="24"/>
          <w:szCs w:val="24"/>
        </w:rPr>
        <w:t>his or her</w:t>
      </w:r>
      <w:r w:rsidR="00381763">
        <w:rPr>
          <w:rFonts w:ascii="Arial" w:hAnsi="Arial" w:cs="Arial"/>
          <w:sz w:val="24"/>
          <w:szCs w:val="24"/>
        </w:rPr>
        <w:t xml:space="preserve"> own or the existence of an asset such as a boat where no registration is required and no proof of purchase can be supplied.</w:t>
      </w:r>
    </w:p>
    <w:p w14:paraId="05839A37" w14:textId="67F54EAF" w:rsidR="00270BBD" w:rsidRDefault="00270BBD" w:rsidP="008770BA">
      <w:pPr>
        <w:pStyle w:val="ListParagraph"/>
        <w:numPr>
          <w:ilvl w:val="0"/>
          <w:numId w:val="21"/>
        </w:numPr>
        <w:ind w:left="426" w:hanging="284"/>
        <w:jc w:val="both"/>
        <w:rPr>
          <w:rFonts w:ascii="Arial" w:hAnsi="Arial" w:cs="Arial"/>
          <w:b/>
          <w:sz w:val="24"/>
          <w:szCs w:val="24"/>
        </w:rPr>
      </w:pPr>
      <w:r>
        <w:rPr>
          <w:rFonts w:ascii="Arial" w:hAnsi="Arial" w:cs="Arial"/>
          <w:b/>
          <w:sz w:val="24"/>
          <w:szCs w:val="24"/>
        </w:rPr>
        <w:t xml:space="preserve">Demonstrative evidence </w:t>
      </w:r>
      <w:r w:rsidR="00381763">
        <w:rPr>
          <w:rFonts w:ascii="Arial" w:hAnsi="Arial" w:cs="Arial"/>
          <w:b/>
          <w:sz w:val="24"/>
          <w:szCs w:val="24"/>
        </w:rPr>
        <w:t>–</w:t>
      </w:r>
      <w:r>
        <w:rPr>
          <w:rFonts w:ascii="Arial" w:hAnsi="Arial" w:cs="Arial"/>
          <w:b/>
          <w:sz w:val="24"/>
          <w:szCs w:val="24"/>
        </w:rPr>
        <w:t xml:space="preserve"> </w:t>
      </w:r>
    </w:p>
    <w:p w14:paraId="2FB90A18" w14:textId="3546AA4D" w:rsidR="00381763" w:rsidRDefault="00134E8E" w:rsidP="00381763">
      <w:pPr>
        <w:pStyle w:val="ListParagraph"/>
        <w:ind w:left="426"/>
        <w:jc w:val="both"/>
        <w:rPr>
          <w:rFonts w:ascii="Arial" w:hAnsi="Arial" w:cs="Arial"/>
          <w:sz w:val="24"/>
          <w:szCs w:val="24"/>
        </w:rPr>
      </w:pPr>
      <w:r>
        <w:rPr>
          <w:rFonts w:ascii="Arial" w:hAnsi="Arial" w:cs="Arial"/>
          <w:sz w:val="24"/>
          <w:szCs w:val="24"/>
        </w:rPr>
        <w:t>This may include photo’s of a perpetrator meeting with a government official which is used as circumstantial evidence of bribery or the generation of charts or graphs utilized in court to present evidence of buying patterns or copies of web chats or messaging from the companies intranet which provides a context or background relevant to the crime.</w:t>
      </w:r>
    </w:p>
    <w:p w14:paraId="481DAB6F" w14:textId="7F9C5C73" w:rsidR="00134E8E" w:rsidRPr="00381763" w:rsidRDefault="00134E8E" w:rsidP="00134E8E">
      <w:pPr>
        <w:pStyle w:val="ListParagraph"/>
        <w:ind w:left="0"/>
        <w:jc w:val="both"/>
        <w:rPr>
          <w:rFonts w:ascii="Arial" w:hAnsi="Arial" w:cs="Arial"/>
          <w:sz w:val="24"/>
          <w:szCs w:val="24"/>
        </w:rPr>
      </w:pPr>
      <w:r>
        <w:rPr>
          <w:rFonts w:ascii="Arial" w:hAnsi="Arial" w:cs="Arial"/>
          <w:sz w:val="24"/>
          <w:szCs w:val="24"/>
        </w:rPr>
        <w:t>The most successful prosecutions of financial crime will generally involve a variety of types of evidence, collected from a variety of sources.</w:t>
      </w:r>
    </w:p>
    <w:p w14:paraId="2CC729E8" w14:textId="77777777" w:rsidR="00EA30AB" w:rsidRPr="00817F89" w:rsidRDefault="00EA30AB" w:rsidP="00503D7E">
      <w:pPr>
        <w:rPr>
          <w:rFonts w:ascii="Arial" w:hAnsi="Arial" w:cs="Arial"/>
          <w:sz w:val="24"/>
          <w:szCs w:val="24"/>
        </w:rPr>
      </w:pPr>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167BC6" w:rsidRDefault="00167BC6" w:rsidP="00CB4D0A">
      <w:pPr>
        <w:spacing w:after="0" w:line="240" w:lineRule="auto"/>
      </w:pPr>
      <w:r>
        <w:separator/>
      </w:r>
    </w:p>
  </w:endnote>
  <w:endnote w:type="continuationSeparator" w:id="0">
    <w:p w14:paraId="1C5767CA" w14:textId="77777777" w:rsidR="00167BC6" w:rsidRDefault="00167B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167BC6" w:rsidRDefault="00167BC6" w:rsidP="00CB4D0A">
      <w:pPr>
        <w:spacing w:after="0" w:line="240" w:lineRule="auto"/>
      </w:pPr>
      <w:r>
        <w:separator/>
      </w:r>
    </w:p>
  </w:footnote>
  <w:footnote w:type="continuationSeparator" w:id="0">
    <w:p w14:paraId="6B1E70EB" w14:textId="77777777" w:rsidR="00167BC6" w:rsidRDefault="00167BC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167BC6" w:rsidRDefault="00167BC6"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167BC6" w:rsidRDefault="00167BC6"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167BC6" w:rsidRDefault="00167BC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167BC6" w:rsidRPr="005334E2" w:rsidRDefault="00167BC6" w:rsidP="007F50FB">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C2311F">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C2311F">
      <w:rPr>
        <w:rStyle w:val="PageNumber"/>
        <w:rFonts w:ascii="Arial" w:hAnsi="Arial" w:cs="Arial"/>
        <w:b/>
        <w:noProof/>
        <w:sz w:val="24"/>
        <w:szCs w:val="24"/>
      </w:rPr>
      <w:t>7</w:t>
    </w:r>
    <w:r w:rsidRPr="005334E2">
      <w:rPr>
        <w:rStyle w:val="PageNumber"/>
        <w:rFonts w:ascii="Arial" w:hAnsi="Arial" w:cs="Arial"/>
        <w:b/>
        <w:sz w:val="24"/>
        <w:szCs w:val="24"/>
      </w:rPr>
      <w:fldChar w:fldCharType="end"/>
    </w:r>
  </w:p>
  <w:p w14:paraId="14DCB965" w14:textId="3ABB8DA5" w:rsidR="00167BC6" w:rsidRDefault="00167BC6" w:rsidP="005334E2">
    <w:pPr>
      <w:pStyle w:val="Header"/>
      <w:ind w:right="360"/>
    </w:pPr>
    <w:r>
      <w:rPr>
        <w:rFonts w:ascii="Arial" w:hAnsi="Arial" w:cs="Arial"/>
        <w:b/>
        <w:sz w:val="24"/>
        <w:szCs w:val="24"/>
      </w:rPr>
      <w:tab/>
      <w:t>Christine Hutton – ID 1566 – Assignment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41C5F63"/>
    <w:multiLevelType w:val="hybridMultilevel"/>
    <w:tmpl w:val="6BC03238"/>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
    <w:nsid w:val="080A09E8"/>
    <w:multiLevelType w:val="hybridMultilevel"/>
    <w:tmpl w:val="78FA8130"/>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2">
    <w:nsid w:val="10A008BE"/>
    <w:multiLevelType w:val="hybridMultilevel"/>
    <w:tmpl w:val="3696768E"/>
    <w:lvl w:ilvl="0" w:tplc="0409001B">
      <w:start w:val="1"/>
      <w:numFmt w:val="lowerRoman"/>
      <w:lvlText w:val="%1."/>
      <w:lvlJc w:val="righ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
    <w:nsid w:val="13D87562"/>
    <w:multiLevelType w:val="hybridMultilevel"/>
    <w:tmpl w:val="E39C62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7D3C88"/>
    <w:multiLevelType w:val="hybridMultilevel"/>
    <w:tmpl w:val="E596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3D72FF"/>
    <w:multiLevelType w:val="hybridMultilevel"/>
    <w:tmpl w:val="03041992"/>
    <w:lvl w:ilvl="0" w:tplc="04090017">
      <w:start w:val="1"/>
      <w:numFmt w:val="lowerLetter"/>
      <w:lvlText w:val="%1)"/>
      <w:lvlJc w:val="left"/>
      <w:pPr>
        <w:ind w:left="917" w:hanging="360"/>
      </w:p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7">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667035"/>
    <w:multiLevelType w:val="hybridMultilevel"/>
    <w:tmpl w:val="050859C2"/>
    <w:lvl w:ilvl="0" w:tplc="0409000F">
      <w:start w:val="1"/>
      <w:numFmt w:val="decimal"/>
      <w:lvlText w:val="%1."/>
      <w:lvlJc w:val="left"/>
      <w:pPr>
        <w:ind w:left="856"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9">
    <w:nsid w:val="44D136F9"/>
    <w:multiLevelType w:val="hybridMultilevel"/>
    <w:tmpl w:val="475626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67386E"/>
    <w:multiLevelType w:val="hybridMultilevel"/>
    <w:tmpl w:val="05CEEB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C560BF"/>
    <w:multiLevelType w:val="hybridMultilevel"/>
    <w:tmpl w:val="BB10F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354F11"/>
    <w:multiLevelType w:val="hybridMultilevel"/>
    <w:tmpl w:val="29748E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A492D"/>
    <w:multiLevelType w:val="hybridMultilevel"/>
    <w:tmpl w:val="FDC636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F46301"/>
    <w:multiLevelType w:val="hybridMultilevel"/>
    <w:tmpl w:val="AC769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876D87"/>
    <w:multiLevelType w:val="hybridMultilevel"/>
    <w:tmpl w:val="57B2C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EE5D12"/>
    <w:multiLevelType w:val="hybridMultilevel"/>
    <w:tmpl w:val="738A13E0"/>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20">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3"/>
  </w:num>
  <w:num w:numId="4">
    <w:abstractNumId w:val="20"/>
  </w:num>
  <w:num w:numId="5">
    <w:abstractNumId w:val="4"/>
  </w:num>
  <w:num w:numId="6">
    <w:abstractNumId w:val="11"/>
  </w:num>
  <w:num w:numId="7">
    <w:abstractNumId w:val="18"/>
  </w:num>
  <w:num w:numId="8">
    <w:abstractNumId w:val="5"/>
  </w:num>
  <w:num w:numId="9">
    <w:abstractNumId w:val="17"/>
  </w:num>
  <w:num w:numId="10">
    <w:abstractNumId w:val="8"/>
  </w:num>
  <w:num w:numId="11">
    <w:abstractNumId w:val="9"/>
  </w:num>
  <w:num w:numId="12">
    <w:abstractNumId w:val="19"/>
  </w:num>
  <w:num w:numId="13">
    <w:abstractNumId w:val="6"/>
  </w:num>
  <w:num w:numId="14">
    <w:abstractNumId w:val="1"/>
  </w:num>
  <w:num w:numId="15">
    <w:abstractNumId w:val="0"/>
  </w:num>
  <w:num w:numId="16">
    <w:abstractNumId w:val="14"/>
  </w:num>
  <w:num w:numId="17">
    <w:abstractNumId w:val="2"/>
  </w:num>
  <w:num w:numId="18">
    <w:abstractNumId w:val="15"/>
  </w:num>
  <w:num w:numId="19">
    <w:abstractNumId w:val="12"/>
  </w:num>
  <w:num w:numId="20">
    <w:abstractNumId w:val="1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C63"/>
    <w:rsid w:val="00035CDD"/>
    <w:rsid w:val="00040083"/>
    <w:rsid w:val="00055992"/>
    <w:rsid w:val="000820E8"/>
    <w:rsid w:val="000A3F86"/>
    <w:rsid w:val="000B4757"/>
    <w:rsid w:val="001109D5"/>
    <w:rsid w:val="001175EE"/>
    <w:rsid w:val="00134E8E"/>
    <w:rsid w:val="00135BC6"/>
    <w:rsid w:val="0014305A"/>
    <w:rsid w:val="001571B3"/>
    <w:rsid w:val="00157CF6"/>
    <w:rsid w:val="00167BC6"/>
    <w:rsid w:val="00182416"/>
    <w:rsid w:val="00185359"/>
    <w:rsid w:val="00187EB4"/>
    <w:rsid w:val="001B5973"/>
    <w:rsid w:val="001E5F5C"/>
    <w:rsid w:val="001F0481"/>
    <w:rsid w:val="001F2250"/>
    <w:rsid w:val="00200C92"/>
    <w:rsid w:val="0020451E"/>
    <w:rsid w:val="00206B9D"/>
    <w:rsid w:val="0023259C"/>
    <w:rsid w:val="00235550"/>
    <w:rsid w:val="00240345"/>
    <w:rsid w:val="00243731"/>
    <w:rsid w:val="00270BBD"/>
    <w:rsid w:val="002B0BD7"/>
    <w:rsid w:val="002B573D"/>
    <w:rsid w:val="002C5CB2"/>
    <w:rsid w:val="002E6DAB"/>
    <w:rsid w:val="002F779F"/>
    <w:rsid w:val="0036396E"/>
    <w:rsid w:val="00371885"/>
    <w:rsid w:val="00381763"/>
    <w:rsid w:val="00394F41"/>
    <w:rsid w:val="003E2B87"/>
    <w:rsid w:val="003E5B71"/>
    <w:rsid w:val="00402786"/>
    <w:rsid w:val="00405895"/>
    <w:rsid w:val="004058DF"/>
    <w:rsid w:val="00406CF1"/>
    <w:rsid w:val="004355CF"/>
    <w:rsid w:val="00443E6F"/>
    <w:rsid w:val="00486F1A"/>
    <w:rsid w:val="00490CB9"/>
    <w:rsid w:val="004A2CE2"/>
    <w:rsid w:val="004A45B9"/>
    <w:rsid w:val="004C16D0"/>
    <w:rsid w:val="004D75FF"/>
    <w:rsid w:val="004E3CDA"/>
    <w:rsid w:val="004F18A6"/>
    <w:rsid w:val="004F4B4D"/>
    <w:rsid w:val="004F67CC"/>
    <w:rsid w:val="0050216D"/>
    <w:rsid w:val="00503D7E"/>
    <w:rsid w:val="0050778F"/>
    <w:rsid w:val="00527C11"/>
    <w:rsid w:val="005334E2"/>
    <w:rsid w:val="00535F31"/>
    <w:rsid w:val="00574D64"/>
    <w:rsid w:val="00591365"/>
    <w:rsid w:val="005B31E4"/>
    <w:rsid w:val="005D37B3"/>
    <w:rsid w:val="006034F6"/>
    <w:rsid w:val="00607874"/>
    <w:rsid w:val="00607E77"/>
    <w:rsid w:val="00617BB3"/>
    <w:rsid w:val="00621D18"/>
    <w:rsid w:val="00630855"/>
    <w:rsid w:val="00635515"/>
    <w:rsid w:val="00636875"/>
    <w:rsid w:val="00637878"/>
    <w:rsid w:val="00645CDD"/>
    <w:rsid w:val="00681425"/>
    <w:rsid w:val="006823A7"/>
    <w:rsid w:val="00687EE8"/>
    <w:rsid w:val="006924C5"/>
    <w:rsid w:val="006F08A2"/>
    <w:rsid w:val="0070347F"/>
    <w:rsid w:val="0070678E"/>
    <w:rsid w:val="00747F17"/>
    <w:rsid w:val="00762F76"/>
    <w:rsid w:val="00772DB3"/>
    <w:rsid w:val="00786362"/>
    <w:rsid w:val="007942C1"/>
    <w:rsid w:val="007B4486"/>
    <w:rsid w:val="007F2FD3"/>
    <w:rsid w:val="007F41AC"/>
    <w:rsid w:val="007F50FB"/>
    <w:rsid w:val="00810113"/>
    <w:rsid w:val="00817F89"/>
    <w:rsid w:val="00830D58"/>
    <w:rsid w:val="00831C11"/>
    <w:rsid w:val="0086615E"/>
    <w:rsid w:val="008770BA"/>
    <w:rsid w:val="0088013A"/>
    <w:rsid w:val="00892A74"/>
    <w:rsid w:val="00893311"/>
    <w:rsid w:val="008A2CA7"/>
    <w:rsid w:val="008A5651"/>
    <w:rsid w:val="008A60B4"/>
    <w:rsid w:val="008B3C31"/>
    <w:rsid w:val="008B4614"/>
    <w:rsid w:val="008B64FE"/>
    <w:rsid w:val="008C15B7"/>
    <w:rsid w:val="008D404B"/>
    <w:rsid w:val="0091553F"/>
    <w:rsid w:val="00926F65"/>
    <w:rsid w:val="00930D26"/>
    <w:rsid w:val="00935AC5"/>
    <w:rsid w:val="00935BF7"/>
    <w:rsid w:val="00951558"/>
    <w:rsid w:val="0095442C"/>
    <w:rsid w:val="00983942"/>
    <w:rsid w:val="00986C1F"/>
    <w:rsid w:val="009A454E"/>
    <w:rsid w:val="009C37E0"/>
    <w:rsid w:val="009E41F4"/>
    <w:rsid w:val="00A13263"/>
    <w:rsid w:val="00A14B66"/>
    <w:rsid w:val="00A65CF7"/>
    <w:rsid w:val="00A723EF"/>
    <w:rsid w:val="00A8097F"/>
    <w:rsid w:val="00A81AB4"/>
    <w:rsid w:val="00A851DA"/>
    <w:rsid w:val="00A93F88"/>
    <w:rsid w:val="00AA4961"/>
    <w:rsid w:val="00AC1F1C"/>
    <w:rsid w:val="00AC2B57"/>
    <w:rsid w:val="00AC7D5B"/>
    <w:rsid w:val="00AE1481"/>
    <w:rsid w:val="00AE29DD"/>
    <w:rsid w:val="00AE6EDF"/>
    <w:rsid w:val="00B0415E"/>
    <w:rsid w:val="00B04678"/>
    <w:rsid w:val="00B06626"/>
    <w:rsid w:val="00B5637D"/>
    <w:rsid w:val="00B628F2"/>
    <w:rsid w:val="00B658E6"/>
    <w:rsid w:val="00BC46DF"/>
    <w:rsid w:val="00C03577"/>
    <w:rsid w:val="00C16845"/>
    <w:rsid w:val="00C2311F"/>
    <w:rsid w:val="00C45339"/>
    <w:rsid w:val="00C53029"/>
    <w:rsid w:val="00C56CC1"/>
    <w:rsid w:val="00C65FEA"/>
    <w:rsid w:val="00CA0AC2"/>
    <w:rsid w:val="00CB4D0A"/>
    <w:rsid w:val="00CC2FB3"/>
    <w:rsid w:val="00CC575A"/>
    <w:rsid w:val="00CD4EBD"/>
    <w:rsid w:val="00CF123B"/>
    <w:rsid w:val="00D039AC"/>
    <w:rsid w:val="00D427DE"/>
    <w:rsid w:val="00D453D2"/>
    <w:rsid w:val="00D5587D"/>
    <w:rsid w:val="00D707CC"/>
    <w:rsid w:val="00D73BD0"/>
    <w:rsid w:val="00D821FE"/>
    <w:rsid w:val="00D86D67"/>
    <w:rsid w:val="00DB0793"/>
    <w:rsid w:val="00DE1698"/>
    <w:rsid w:val="00DE6FDB"/>
    <w:rsid w:val="00DF638C"/>
    <w:rsid w:val="00E00821"/>
    <w:rsid w:val="00E04DB4"/>
    <w:rsid w:val="00E30679"/>
    <w:rsid w:val="00E4597D"/>
    <w:rsid w:val="00E5280E"/>
    <w:rsid w:val="00E54832"/>
    <w:rsid w:val="00E56A90"/>
    <w:rsid w:val="00E641CC"/>
    <w:rsid w:val="00E663F6"/>
    <w:rsid w:val="00EA30AB"/>
    <w:rsid w:val="00EB3925"/>
    <w:rsid w:val="00F01256"/>
    <w:rsid w:val="00F50B50"/>
    <w:rsid w:val="00F8639C"/>
    <w:rsid w:val="00F96EB3"/>
    <w:rsid w:val="00FB1FC7"/>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 w:type="paragraph" w:styleId="NoSpacing">
    <w:name w:val="No Spacing"/>
    <w:uiPriority w:val="1"/>
    <w:qFormat/>
    <w:rsid w:val="001B5973"/>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052CA4"/>
    <w:rsid w:val="00086E11"/>
    <w:rsid w:val="001953E0"/>
    <w:rsid w:val="001C0D52"/>
    <w:rsid w:val="0024188B"/>
    <w:rsid w:val="00302AE2"/>
    <w:rsid w:val="006726E1"/>
    <w:rsid w:val="0075659D"/>
    <w:rsid w:val="00817968"/>
    <w:rsid w:val="00951037"/>
    <w:rsid w:val="00987A17"/>
    <w:rsid w:val="00A56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56712-4B37-2E4A-942D-4DE98522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Pages>
  <Words>2018</Words>
  <Characters>11504</Characters>
  <Application>Microsoft Macintosh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18</cp:revision>
  <dcterms:created xsi:type="dcterms:W3CDTF">2015-11-09T12:05:00Z</dcterms:created>
  <dcterms:modified xsi:type="dcterms:W3CDTF">2015-11-13T12:34:00Z</dcterms:modified>
</cp:coreProperties>
</file>