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2222"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40AF" w:rsidP="007640AF">
            <w:pPr>
              <w:pStyle w:val="Default"/>
              <w:tabs>
                <w:tab w:val="left" w:pos="1200"/>
              </w:tabs>
              <w:jc w:val="center"/>
              <w:rPr>
                <w:rFonts w:asciiTheme="minorHAnsi" w:hAnsiTheme="minorHAnsi"/>
              </w:rPr>
            </w:pPr>
            <w:r>
              <w:rPr>
                <w:rFonts w:asciiTheme="minorHAnsi" w:hAnsiTheme="minorHAnsi"/>
              </w:rPr>
              <w:t>Calisha Cayonne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7640AF">
            <w:pPr>
              <w:jc w:val="cente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40AF" w:rsidP="007640AF">
            <w:pPr>
              <w:pStyle w:val="Default"/>
              <w:jc w:val="center"/>
              <w:rPr>
                <w:rFonts w:asciiTheme="minorHAnsi" w:hAnsiTheme="minorHAnsi"/>
              </w:rPr>
            </w:pPr>
            <w:r>
              <w:rPr>
                <w:rFonts w:asciiTheme="minorHAnsi" w:hAnsiTheme="minorHAnsi"/>
              </w:rPr>
              <w:t>1418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40AF" w:rsidP="007640AF">
            <w:pPr>
              <w:pStyle w:val="Default"/>
              <w:jc w:val="center"/>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16D2" w:rsidP="007640AF">
            <w:pPr>
              <w:jc w:val="center"/>
            </w:pPr>
            <w:r>
              <w:t>Assessment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C23BC">
            <w:pPr>
              <w:spacing w:line="480" w:lineRule="auto"/>
              <w:jc w:val="both"/>
              <w:rPr>
                <w:rFonts w:ascii="Arial" w:hAnsi="Arial" w:cs="Arial"/>
                <w:sz w:val="24"/>
                <w:szCs w:val="24"/>
              </w:rPr>
            </w:pPr>
          </w:p>
          <w:p w:rsidR="00EE3EB6" w:rsidRDefault="004448E6" w:rsidP="00AC23BC">
            <w:pPr>
              <w:pStyle w:val="ListParagraph"/>
              <w:spacing w:line="480" w:lineRule="auto"/>
              <w:ind w:left="420"/>
              <w:jc w:val="both"/>
              <w:rPr>
                <w:rFonts w:ascii="Arial" w:hAnsi="Arial" w:cs="Arial"/>
                <w:sz w:val="24"/>
                <w:szCs w:val="24"/>
              </w:rPr>
            </w:pPr>
            <w:r>
              <w:rPr>
                <w:rFonts w:ascii="Arial" w:hAnsi="Arial" w:cs="Arial"/>
                <w:sz w:val="24"/>
                <w:szCs w:val="24"/>
              </w:rPr>
              <w:t>Assessment 2</w:t>
            </w:r>
          </w:p>
          <w:p w:rsidR="004448E6" w:rsidRDefault="004448E6" w:rsidP="00AC23BC">
            <w:pPr>
              <w:pStyle w:val="ListParagraph"/>
              <w:spacing w:line="480" w:lineRule="auto"/>
              <w:ind w:left="420"/>
              <w:jc w:val="both"/>
              <w:rPr>
                <w:rFonts w:ascii="Arial" w:hAnsi="Arial" w:cs="Arial"/>
                <w:sz w:val="24"/>
                <w:szCs w:val="24"/>
              </w:rPr>
            </w:pPr>
            <w:r>
              <w:rPr>
                <w:rFonts w:ascii="Arial" w:hAnsi="Arial" w:cs="Arial"/>
                <w:sz w:val="24"/>
                <w:szCs w:val="24"/>
              </w:rPr>
              <w:t>1.</w:t>
            </w:r>
          </w:p>
          <w:p w:rsidR="004448E6" w:rsidRDefault="004448E6" w:rsidP="00AC23BC">
            <w:pPr>
              <w:pStyle w:val="ListParagraph"/>
              <w:numPr>
                <w:ilvl w:val="0"/>
                <w:numId w:val="6"/>
              </w:numPr>
              <w:spacing w:line="480" w:lineRule="auto"/>
              <w:jc w:val="both"/>
              <w:rPr>
                <w:rFonts w:ascii="Arial" w:hAnsi="Arial" w:cs="Arial"/>
                <w:sz w:val="24"/>
                <w:szCs w:val="24"/>
              </w:rPr>
            </w:pPr>
            <w:r>
              <w:rPr>
                <w:rFonts w:ascii="Arial" w:hAnsi="Arial" w:cs="Arial"/>
                <w:sz w:val="24"/>
                <w:szCs w:val="24"/>
              </w:rPr>
              <w:t>The ways in which the effects of crime influence economy are through microeconomics and macroeconomics. Microeconomics is the most essential in understanding the economy as a system, it evaluates the effect on business and individuals. For example if there is a high rate of crime and violence in one area of town then the businesses that are located in that area would not receive a high volume of foot traffic from customers because of where it is located. Macroeconomics, unlike microeconomics, examines the economy as a whole. This economics studies the effect of crime on a local, regional an</w:t>
            </w:r>
            <w:bookmarkStart w:id="0" w:name="_GoBack"/>
            <w:bookmarkEnd w:id="0"/>
            <w:r>
              <w:rPr>
                <w:rFonts w:ascii="Arial" w:hAnsi="Arial" w:cs="Arial"/>
                <w:sz w:val="24"/>
                <w:szCs w:val="24"/>
              </w:rPr>
              <w:t>d international levels.</w:t>
            </w:r>
          </w:p>
          <w:p w:rsidR="00234749" w:rsidRDefault="00234749" w:rsidP="00AC23BC">
            <w:pPr>
              <w:pStyle w:val="ListParagraph"/>
              <w:spacing w:line="480" w:lineRule="auto"/>
              <w:ind w:left="1140"/>
              <w:jc w:val="both"/>
              <w:rPr>
                <w:rFonts w:ascii="Arial" w:hAnsi="Arial" w:cs="Arial"/>
                <w:sz w:val="24"/>
                <w:szCs w:val="24"/>
              </w:rPr>
            </w:pPr>
          </w:p>
          <w:p w:rsidR="007640AF" w:rsidRDefault="004448E6" w:rsidP="00AC23BC">
            <w:pPr>
              <w:pStyle w:val="ListParagraph"/>
              <w:numPr>
                <w:ilvl w:val="0"/>
                <w:numId w:val="6"/>
              </w:numPr>
              <w:spacing w:line="480" w:lineRule="auto"/>
              <w:jc w:val="both"/>
              <w:rPr>
                <w:rFonts w:ascii="Arial" w:hAnsi="Arial" w:cs="Arial"/>
                <w:sz w:val="24"/>
                <w:szCs w:val="24"/>
              </w:rPr>
            </w:pPr>
            <w:r w:rsidRPr="00CD4BFE">
              <w:rPr>
                <w:rFonts w:ascii="Arial" w:hAnsi="Arial" w:cs="Arial"/>
                <w:sz w:val="24"/>
                <w:szCs w:val="24"/>
              </w:rPr>
              <w:t xml:space="preserve">Everyone is affected by the effects of crime to some extent. Crime can have a short term, long term or lifetime impact on an individual or economy. </w:t>
            </w:r>
            <w:r w:rsidR="00FA2AD4" w:rsidRPr="00CD4BFE">
              <w:rPr>
                <w:rFonts w:ascii="Arial" w:hAnsi="Arial" w:cs="Arial"/>
                <w:sz w:val="24"/>
                <w:szCs w:val="24"/>
              </w:rPr>
              <w:t>Communities are affected through the loss of tourism and retail sales. They would experience a major loss in revenue due to the fact that the annual number of expected visitors would decline because of the increase of violence in the communities. Tax money which is paid by tax payers are used to fund different programs in the communities such as law enforcement which carries the cost incurred in training and maintain a police department and equipment needed to carry out their daily task as officers, the support staff that is needed and to up keep the infrastructure. Community programs are created to assist in the prevention of crime which is supported by tax money</w:t>
            </w:r>
            <w:r w:rsidR="00CD4BFE" w:rsidRPr="00CD4BFE">
              <w:rPr>
                <w:rFonts w:ascii="Arial" w:hAnsi="Arial" w:cs="Arial"/>
                <w:sz w:val="24"/>
                <w:szCs w:val="24"/>
              </w:rPr>
              <w:t>. Drug Rehabilitation centers are sometimes suppor</w:t>
            </w:r>
            <w:r w:rsidR="00CD4BFE">
              <w:rPr>
                <w:rFonts w:ascii="Arial" w:hAnsi="Arial" w:cs="Arial"/>
                <w:sz w:val="24"/>
                <w:szCs w:val="24"/>
              </w:rPr>
              <w:t>ted by both public and private funding</w:t>
            </w:r>
            <w:r w:rsidR="00CD4BFE" w:rsidRPr="00CD4BFE">
              <w:rPr>
                <w:rFonts w:ascii="Arial" w:hAnsi="Arial" w:cs="Arial"/>
                <w:sz w:val="24"/>
                <w:szCs w:val="24"/>
              </w:rPr>
              <w:t>.</w:t>
            </w:r>
            <w:r w:rsidR="00CD4BFE">
              <w:rPr>
                <w:rFonts w:ascii="Arial" w:hAnsi="Arial" w:cs="Arial"/>
                <w:sz w:val="24"/>
                <w:szCs w:val="24"/>
              </w:rPr>
              <w:t xml:space="preserve"> This program assist in the prevention of drugs and alcohol abuse and rehabilitation of the users. The prison facilities provided to prisoners cost substantial amounts of money</w:t>
            </w:r>
            <w:r w:rsidR="00CD4BFE" w:rsidRPr="00CD4BFE">
              <w:rPr>
                <w:rFonts w:ascii="Arial" w:hAnsi="Arial" w:cs="Arial"/>
                <w:sz w:val="24"/>
                <w:szCs w:val="24"/>
              </w:rPr>
              <w:t xml:space="preserve"> </w:t>
            </w:r>
            <w:r w:rsidR="00CD4BFE">
              <w:rPr>
                <w:rFonts w:ascii="Arial" w:hAnsi="Arial" w:cs="Arial"/>
                <w:sz w:val="24"/>
                <w:szCs w:val="24"/>
              </w:rPr>
              <w:t xml:space="preserve">provided by tax payers etc. </w:t>
            </w:r>
          </w:p>
          <w:p w:rsidR="00234749" w:rsidRDefault="00234749" w:rsidP="00AC23BC">
            <w:pPr>
              <w:pStyle w:val="ListParagraph"/>
              <w:spacing w:line="480" w:lineRule="auto"/>
              <w:ind w:left="1140"/>
              <w:jc w:val="both"/>
              <w:rPr>
                <w:rFonts w:ascii="Arial" w:hAnsi="Arial" w:cs="Arial"/>
                <w:sz w:val="24"/>
                <w:szCs w:val="24"/>
              </w:rPr>
            </w:pPr>
          </w:p>
          <w:p w:rsidR="00234749" w:rsidRDefault="00CD4BFE" w:rsidP="00AC23BC">
            <w:pPr>
              <w:pStyle w:val="ListParagraph"/>
              <w:numPr>
                <w:ilvl w:val="0"/>
                <w:numId w:val="6"/>
              </w:numPr>
              <w:spacing w:line="480" w:lineRule="auto"/>
              <w:jc w:val="both"/>
              <w:rPr>
                <w:rFonts w:ascii="Arial" w:hAnsi="Arial" w:cs="Arial"/>
                <w:sz w:val="24"/>
                <w:szCs w:val="24"/>
              </w:rPr>
            </w:pPr>
            <w:r>
              <w:rPr>
                <w:rFonts w:ascii="Arial" w:hAnsi="Arial" w:cs="Arial"/>
                <w:sz w:val="24"/>
                <w:szCs w:val="24"/>
              </w:rPr>
              <w:t xml:space="preserve">Arson according to CriminalFindLaw.com is the willful and malicious burning or charring of property. Arson is held separate from other actions that may precipitate a fire, such as natural wildfires or spontaneous combustion. The separation between such actions stems from the attached malicious behavior needed for an arson charge simply implies </w:t>
            </w:r>
            <w:r>
              <w:rPr>
                <w:rFonts w:ascii="Arial" w:hAnsi="Arial" w:cs="Arial"/>
                <w:sz w:val="24"/>
                <w:szCs w:val="24"/>
              </w:rPr>
              <w:lastRenderedPageBreak/>
              <w:t>that a fire was deliberately set to a property or areas to inflict damage, harm or collect insurance compensation.</w:t>
            </w:r>
          </w:p>
          <w:p w:rsidR="00CD4BFE" w:rsidRDefault="00CD4BFE" w:rsidP="00AC23BC">
            <w:pPr>
              <w:pStyle w:val="ListParagraph"/>
              <w:spacing w:line="480" w:lineRule="auto"/>
              <w:ind w:left="1140"/>
              <w:jc w:val="both"/>
              <w:rPr>
                <w:rFonts w:ascii="Arial" w:hAnsi="Arial" w:cs="Arial"/>
                <w:sz w:val="24"/>
                <w:szCs w:val="24"/>
              </w:rPr>
            </w:pPr>
            <w:r>
              <w:rPr>
                <w:rFonts w:ascii="Arial" w:hAnsi="Arial" w:cs="Arial"/>
                <w:sz w:val="24"/>
                <w:szCs w:val="24"/>
              </w:rPr>
              <w:t xml:space="preserve"> </w:t>
            </w:r>
          </w:p>
          <w:p w:rsidR="00B63721" w:rsidRDefault="00B63721" w:rsidP="00AC23BC">
            <w:pPr>
              <w:pStyle w:val="ListParagraph"/>
              <w:numPr>
                <w:ilvl w:val="0"/>
                <w:numId w:val="6"/>
              </w:numPr>
              <w:spacing w:line="480" w:lineRule="auto"/>
              <w:jc w:val="both"/>
              <w:rPr>
                <w:rFonts w:ascii="Arial" w:hAnsi="Arial" w:cs="Arial"/>
                <w:sz w:val="24"/>
                <w:szCs w:val="24"/>
              </w:rPr>
            </w:pPr>
            <w:r>
              <w:rPr>
                <w:rFonts w:ascii="Arial" w:hAnsi="Arial" w:cs="Arial"/>
                <w:sz w:val="24"/>
                <w:szCs w:val="24"/>
              </w:rPr>
              <w:t>Money Laundering is the concealing of gains made unlawfully through various schemes and methods. Some activities which could encompass money laundering are frequent transferring of money from one country to another, incorporation fake companies to hide the laundered money, buying various tangible and intangible items with large amounts of cash, depositing large amounts of cash</w:t>
            </w:r>
            <w:r w:rsidR="005F4ABC">
              <w:rPr>
                <w:rFonts w:ascii="Arial" w:hAnsi="Arial" w:cs="Arial"/>
                <w:sz w:val="24"/>
                <w:szCs w:val="24"/>
              </w:rPr>
              <w:t xml:space="preserve"> in numerous financial organizations and money derived from unlawful activities. </w:t>
            </w:r>
          </w:p>
          <w:p w:rsidR="005F4ABC" w:rsidRDefault="005F4ABC" w:rsidP="00AC23BC">
            <w:pPr>
              <w:spacing w:line="480" w:lineRule="auto"/>
              <w:jc w:val="both"/>
              <w:rPr>
                <w:rFonts w:ascii="Arial" w:eastAsia="Calibri" w:hAnsi="Arial" w:cs="Arial"/>
                <w:sz w:val="24"/>
                <w:szCs w:val="24"/>
              </w:rPr>
            </w:pPr>
          </w:p>
          <w:p w:rsidR="005F4ABC" w:rsidRPr="005F4ABC" w:rsidRDefault="005F4ABC" w:rsidP="00AC23BC">
            <w:pPr>
              <w:pStyle w:val="ListParagraph"/>
              <w:numPr>
                <w:ilvl w:val="0"/>
                <w:numId w:val="8"/>
              </w:numPr>
              <w:spacing w:line="480" w:lineRule="auto"/>
              <w:jc w:val="both"/>
              <w:rPr>
                <w:rFonts w:ascii="Arial" w:hAnsi="Arial" w:cs="Arial"/>
                <w:sz w:val="24"/>
                <w:szCs w:val="24"/>
              </w:rPr>
            </w:pPr>
            <w:r>
              <w:rPr>
                <w:rFonts w:ascii="Arial" w:hAnsi="Arial" w:cs="Arial"/>
                <w:sz w:val="24"/>
                <w:szCs w:val="24"/>
              </w:rPr>
              <w:t xml:space="preserve"> The term embezzlement to me is theft. It is</w:t>
            </w:r>
            <w:r w:rsidR="00234749">
              <w:rPr>
                <w:rFonts w:ascii="Arial" w:hAnsi="Arial" w:cs="Arial"/>
                <w:sz w:val="24"/>
                <w:szCs w:val="24"/>
              </w:rPr>
              <w:t xml:space="preserve"> when </w:t>
            </w:r>
            <w:r>
              <w:rPr>
                <w:rFonts w:ascii="Arial" w:hAnsi="Arial" w:cs="Arial"/>
                <w:sz w:val="24"/>
                <w:szCs w:val="24"/>
              </w:rPr>
              <w:t xml:space="preserve">someone who was entrusted to manage </w:t>
            </w:r>
            <w:r w:rsidR="00234749">
              <w:rPr>
                <w:rFonts w:ascii="Arial" w:hAnsi="Arial" w:cs="Arial"/>
                <w:sz w:val="24"/>
                <w:szCs w:val="24"/>
              </w:rPr>
              <w:t xml:space="preserve">someone </w:t>
            </w:r>
            <w:r>
              <w:rPr>
                <w:rFonts w:ascii="Arial" w:hAnsi="Arial" w:cs="Arial"/>
                <w:sz w:val="24"/>
                <w:szCs w:val="24"/>
              </w:rPr>
              <w:t>else’s money or property steal all or some for their own personal gains.</w:t>
            </w:r>
            <w:r w:rsidR="00234749">
              <w:rPr>
                <w:rFonts w:ascii="Arial" w:hAnsi="Arial" w:cs="Arial"/>
                <w:sz w:val="24"/>
                <w:szCs w:val="24"/>
              </w:rPr>
              <w:t xml:space="preserve"> The fact is the person had legal access to another person’s money or property, but not legal ownership of it. Taking property or money for your own personal gain is referred to as stealing. When combined with the fact that this stealing was also a violation of a special position of trust, you have the unique crime of embezzlement. Financial crime is defined as the involvement of the unlawful conversion of the ownership of money or property (belonging to one person) for one’s own personal use and benefit. Embezzlement like other crimes includes the main factors that are needed to be considered a financial crime. </w:t>
            </w:r>
            <w:hyperlink r:id="rId9" w:history="1">
              <w:r w:rsidR="00234749" w:rsidRPr="00B6080C">
                <w:rPr>
                  <w:rStyle w:val="Hyperlink"/>
                  <w:rFonts w:ascii="Arial" w:hAnsi="Arial" w:cs="Arial"/>
                  <w:sz w:val="24"/>
                  <w:szCs w:val="24"/>
                </w:rPr>
                <w:t>www.criminaldefenselawyer.com</w:t>
              </w:r>
            </w:hyperlink>
            <w:r w:rsidR="00234749">
              <w:rPr>
                <w:rFonts w:ascii="Arial" w:hAnsi="Arial" w:cs="Arial"/>
                <w:sz w:val="24"/>
                <w:szCs w:val="24"/>
              </w:rPr>
              <w:t xml:space="preserve"> </w:t>
            </w:r>
          </w:p>
          <w:p w:rsidR="007640AF" w:rsidRDefault="007640AF" w:rsidP="00AC23BC">
            <w:pPr>
              <w:spacing w:line="480" w:lineRule="auto"/>
              <w:jc w:val="both"/>
              <w:rPr>
                <w:rFonts w:ascii="Arial" w:hAnsi="Arial" w:cs="Arial"/>
                <w:sz w:val="24"/>
                <w:szCs w:val="24"/>
              </w:rPr>
            </w:pPr>
          </w:p>
          <w:p w:rsidR="007640AF" w:rsidRDefault="007640AF" w:rsidP="00AC23BC">
            <w:pPr>
              <w:spacing w:line="480" w:lineRule="auto"/>
              <w:jc w:val="both"/>
              <w:rPr>
                <w:rFonts w:ascii="Arial" w:hAnsi="Arial" w:cs="Arial"/>
                <w:sz w:val="24"/>
                <w:szCs w:val="24"/>
              </w:rPr>
            </w:pPr>
          </w:p>
          <w:p w:rsidR="007640AF" w:rsidRPr="00BF61A7" w:rsidRDefault="00234749" w:rsidP="00AC23BC">
            <w:pPr>
              <w:pStyle w:val="ListParagraph"/>
              <w:numPr>
                <w:ilvl w:val="0"/>
                <w:numId w:val="8"/>
              </w:numPr>
              <w:spacing w:line="480" w:lineRule="auto"/>
              <w:jc w:val="both"/>
              <w:rPr>
                <w:rStyle w:val="Hyperlink"/>
                <w:rFonts w:ascii="Arial" w:hAnsi="Arial" w:cs="Arial"/>
                <w:color w:val="auto"/>
                <w:sz w:val="24"/>
                <w:szCs w:val="24"/>
                <w:u w:val="none"/>
              </w:rPr>
            </w:pPr>
            <w:r w:rsidRPr="000A3C5C">
              <w:rPr>
                <w:rFonts w:ascii="Arial" w:hAnsi="Arial" w:cs="Arial"/>
                <w:sz w:val="24"/>
                <w:szCs w:val="24"/>
              </w:rPr>
              <w:lastRenderedPageBreak/>
              <w:t xml:space="preserve">Forgery generally refers to the making of a fake document, the changing of an existing document or the making of a signature without authorization. </w:t>
            </w:r>
            <w:r w:rsidR="000A3C5C" w:rsidRPr="000A3C5C">
              <w:rPr>
                <w:rFonts w:ascii="Arial" w:hAnsi="Arial" w:cs="Arial"/>
                <w:sz w:val="24"/>
                <w:szCs w:val="24"/>
              </w:rPr>
              <w:t xml:space="preserve">The crime of knowingly tendering or showing a forged instrument or counterfeit coin to another with intent to defraud. The difference between forgery and uttering to sum it up is, forgery is the making of false documents and uttering is passing it off as real. For example if you write a check from someone else’s </w:t>
            </w:r>
            <w:proofErr w:type="spellStart"/>
            <w:r w:rsidR="000A3C5C" w:rsidRPr="000A3C5C">
              <w:rPr>
                <w:rFonts w:ascii="Arial" w:hAnsi="Arial" w:cs="Arial"/>
                <w:sz w:val="24"/>
                <w:szCs w:val="24"/>
              </w:rPr>
              <w:t>cheque</w:t>
            </w:r>
            <w:proofErr w:type="spellEnd"/>
            <w:r w:rsidR="000A3C5C" w:rsidRPr="000A3C5C">
              <w:rPr>
                <w:rFonts w:ascii="Arial" w:hAnsi="Arial" w:cs="Arial"/>
                <w:sz w:val="24"/>
                <w:szCs w:val="24"/>
              </w:rPr>
              <w:t xml:space="preserve"> book without their knowledge and sign their name that’s forgery attempting to cash that </w:t>
            </w:r>
            <w:proofErr w:type="spellStart"/>
            <w:r w:rsidR="000A3C5C" w:rsidRPr="000A3C5C">
              <w:rPr>
                <w:rFonts w:ascii="Arial" w:hAnsi="Arial" w:cs="Arial"/>
                <w:sz w:val="24"/>
                <w:szCs w:val="24"/>
              </w:rPr>
              <w:t>cheque</w:t>
            </w:r>
            <w:proofErr w:type="spellEnd"/>
            <w:r w:rsidR="000A3C5C" w:rsidRPr="000A3C5C">
              <w:rPr>
                <w:rFonts w:ascii="Arial" w:hAnsi="Arial" w:cs="Arial"/>
                <w:sz w:val="24"/>
                <w:szCs w:val="24"/>
              </w:rPr>
              <w:t xml:space="preserve"> is uttering.</w:t>
            </w:r>
            <w:r w:rsidR="00877A5C">
              <w:rPr>
                <w:rFonts w:ascii="Arial" w:hAnsi="Arial" w:cs="Arial"/>
                <w:sz w:val="24"/>
                <w:szCs w:val="24"/>
              </w:rPr>
              <w:t xml:space="preserve"> Sources of information are from </w:t>
            </w:r>
            <w:hyperlink r:id="rId10" w:history="1">
              <w:r w:rsidR="00877A5C" w:rsidRPr="00B6080C">
                <w:rPr>
                  <w:rStyle w:val="Hyperlink"/>
                  <w:rFonts w:ascii="Arial" w:hAnsi="Arial" w:cs="Arial"/>
                  <w:sz w:val="24"/>
                  <w:szCs w:val="24"/>
                </w:rPr>
                <w:t>www.definitions.uslegal.com</w:t>
              </w:r>
            </w:hyperlink>
            <w:r w:rsidR="00877A5C">
              <w:rPr>
                <w:rFonts w:ascii="Arial" w:hAnsi="Arial" w:cs="Arial"/>
                <w:sz w:val="24"/>
                <w:szCs w:val="24"/>
              </w:rPr>
              <w:t xml:space="preserve"> </w:t>
            </w:r>
            <w:hyperlink r:id="rId11" w:history="1">
              <w:r w:rsidR="00877A5C" w:rsidRPr="00B6080C">
                <w:rPr>
                  <w:rStyle w:val="Hyperlink"/>
                  <w:rFonts w:ascii="Arial" w:hAnsi="Arial" w:cs="Arial"/>
                  <w:sz w:val="24"/>
                  <w:szCs w:val="24"/>
                </w:rPr>
                <w:t>www.ekglawyers.com</w:t>
              </w:r>
            </w:hyperlink>
            <w:r w:rsidR="00877A5C">
              <w:rPr>
                <w:rFonts w:ascii="Arial" w:hAnsi="Arial" w:cs="Arial"/>
                <w:sz w:val="24"/>
                <w:szCs w:val="24"/>
              </w:rPr>
              <w:t xml:space="preserve"> </w:t>
            </w:r>
            <w:hyperlink r:id="rId12" w:history="1">
              <w:r w:rsidR="00877A5C" w:rsidRPr="00B6080C">
                <w:rPr>
                  <w:rStyle w:val="Hyperlink"/>
                  <w:rFonts w:ascii="Arial" w:hAnsi="Arial" w:cs="Arial"/>
                  <w:sz w:val="24"/>
                  <w:szCs w:val="24"/>
                </w:rPr>
                <w:t>www.legal-dictionary.com</w:t>
              </w:r>
            </w:hyperlink>
            <w:r w:rsidR="00877A5C">
              <w:rPr>
                <w:rFonts w:ascii="Arial" w:hAnsi="Arial" w:cs="Arial"/>
                <w:sz w:val="24"/>
                <w:szCs w:val="24"/>
              </w:rPr>
              <w:t xml:space="preserve"> and  </w:t>
            </w:r>
            <w:hyperlink r:id="rId13" w:history="1">
              <w:r w:rsidR="00877A5C" w:rsidRPr="00B6080C">
                <w:rPr>
                  <w:rStyle w:val="Hyperlink"/>
                  <w:rFonts w:ascii="Arial" w:hAnsi="Arial" w:cs="Arial"/>
                  <w:sz w:val="24"/>
                  <w:szCs w:val="24"/>
                </w:rPr>
                <w:t>www.freedictionary.com/forgery</w:t>
              </w:r>
            </w:hyperlink>
          </w:p>
          <w:p w:rsidR="00BF61A7" w:rsidRPr="00BF61A7" w:rsidRDefault="00BF61A7" w:rsidP="00AC23BC">
            <w:pPr>
              <w:pStyle w:val="ListParagraph"/>
              <w:spacing w:line="480" w:lineRule="auto"/>
              <w:ind w:left="810"/>
              <w:jc w:val="both"/>
              <w:rPr>
                <w:rStyle w:val="Hyperlink"/>
                <w:rFonts w:ascii="Arial" w:hAnsi="Arial" w:cs="Arial"/>
                <w:color w:val="auto"/>
                <w:sz w:val="24"/>
                <w:szCs w:val="24"/>
                <w:u w:val="none"/>
              </w:rPr>
            </w:pPr>
          </w:p>
          <w:p w:rsidR="00985785" w:rsidRDefault="00BF61A7" w:rsidP="00AC23BC">
            <w:pPr>
              <w:pStyle w:val="ListParagraph"/>
              <w:numPr>
                <w:ilvl w:val="0"/>
                <w:numId w:val="8"/>
              </w:numPr>
              <w:spacing w:line="480" w:lineRule="auto"/>
              <w:jc w:val="both"/>
              <w:rPr>
                <w:rStyle w:val="Hyperlink"/>
                <w:rFonts w:ascii="Arial" w:hAnsi="Arial" w:cs="Arial"/>
                <w:color w:val="auto"/>
                <w:sz w:val="24"/>
                <w:szCs w:val="24"/>
                <w:u w:val="none"/>
              </w:rPr>
            </w:pPr>
            <w:r>
              <w:rPr>
                <w:rStyle w:val="Hyperlink"/>
                <w:rFonts w:ascii="Arial" w:hAnsi="Arial" w:cs="Arial"/>
                <w:color w:val="auto"/>
                <w:sz w:val="24"/>
                <w:szCs w:val="24"/>
                <w:u w:val="none"/>
              </w:rPr>
              <w:t xml:space="preserve">Based on the case the forensic accountant would have assessed </w:t>
            </w:r>
            <w:r w:rsidR="00BB7AD1">
              <w:rPr>
                <w:rStyle w:val="Hyperlink"/>
                <w:rFonts w:ascii="Arial" w:hAnsi="Arial" w:cs="Arial"/>
                <w:color w:val="auto"/>
                <w:sz w:val="24"/>
                <w:szCs w:val="24"/>
                <w:u w:val="none"/>
              </w:rPr>
              <w:t xml:space="preserve">the bank statement. From the bank statement he/she can tell the pattern of the couple’s spending and deposits in the account. Based on all the information provided by the bank statement the forensic accountant can tell the usual transactions made over a period of time.  He can also assess the couple’s pay stub and also tax statement to conclude whether or not they are spending more than they are making, and how much taxes they paid based on their </w:t>
            </w:r>
            <w:r w:rsidR="00985785">
              <w:rPr>
                <w:rStyle w:val="Hyperlink"/>
                <w:rFonts w:ascii="Arial" w:hAnsi="Arial" w:cs="Arial"/>
                <w:color w:val="auto"/>
                <w:sz w:val="24"/>
                <w:szCs w:val="24"/>
                <w:u w:val="none"/>
              </w:rPr>
              <w:t>salary which may or may not explain some of the usual transaction</w:t>
            </w:r>
            <w:r w:rsidR="00BB7AD1">
              <w:rPr>
                <w:rStyle w:val="Hyperlink"/>
                <w:rFonts w:ascii="Arial" w:hAnsi="Arial" w:cs="Arial"/>
                <w:color w:val="auto"/>
                <w:sz w:val="24"/>
                <w:szCs w:val="24"/>
                <w:u w:val="none"/>
              </w:rPr>
              <w:t>.</w:t>
            </w:r>
          </w:p>
          <w:p w:rsidR="00985785" w:rsidRPr="00985785" w:rsidRDefault="00985785" w:rsidP="00AC23BC">
            <w:pPr>
              <w:pStyle w:val="ListParagraph"/>
              <w:spacing w:line="480" w:lineRule="auto"/>
              <w:jc w:val="both"/>
              <w:rPr>
                <w:rStyle w:val="Hyperlink"/>
                <w:rFonts w:ascii="Arial" w:hAnsi="Arial" w:cs="Arial"/>
                <w:color w:val="auto"/>
                <w:sz w:val="24"/>
                <w:szCs w:val="24"/>
                <w:u w:val="none"/>
              </w:rPr>
            </w:pPr>
          </w:p>
          <w:p w:rsidR="005B2F8E" w:rsidRPr="00985785" w:rsidRDefault="00BB7AD1" w:rsidP="00AC23BC">
            <w:pPr>
              <w:pStyle w:val="ListParagraph"/>
              <w:spacing w:line="480" w:lineRule="auto"/>
              <w:ind w:left="810"/>
              <w:jc w:val="both"/>
              <w:rPr>
                <w:rFonts w:ascii="Arial" w:hAnsi="Arial" w:cs="Arial"/>
                <w:sz w:val="24"/>
                <w:szCs w:val="24"/>
              </w:rPr>
            </w:pPr>
            <w:r>
              <w:rPr>
                <w:rStyle w:val="Hyperlink"/>
                <w:rFonts w:ascii="Arial" w:hAnsi="Arial" w:cs="Arial"/>
                <w:color w:val="auto"/>
                <w:sz w:val="24"/>
                <w:szCs w:val="24"/>
                <w:u w:val="none"/>
              </w:rPr>
              <w:t xml:space="preserve"> He was able to conclude that the husband and wife must have had access to unidentified sources of income based on transactions in the statement that there was no legit explanation as to how they attainted the money.  </w:t>
            </w:r>
          </w:p>
          <w:p w:rsidR="005B2F8E" w:rsidRDefault="005B2F8E" w:rsidP="00A851DA">
            <w:pPr>
              <w:rPr>
                <w:b/>
              </w:rPr>
            </w:pPr>
          </w:p>
          <w:p w:rsidR="005B2F8E" w:rsidRDefault="005B2F8E" w:rsidP="00A851DA">
            <w:pPr>
              <w:rPr>
                <w:b/>
              </w:rPr>
            </w:pPr>
          </w:p>
          <w:p w:rsidR="005B2F8E" w:rsidRDefault="005B2F8E" w:rsidP="00A851DA">
            <w:pPr>
              <w:rPr>
                <w:b/>
              </w:rPr>
            </w:pPr>
          </w:p>
          <w:p w:rsidR="005B2F8E" w:rsidRDefault="005B2F8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B63721" w:rsidTr="00CC2FB3">
        <w:tc>
          <w:tcPr>
            <w:tcW w:w="9242" w:type="dxa"/>
          </w:tcPr>
          <w:p w:rsidR="00B63721" w:rsidRDefault="00B63721"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B2F8E" w:rsidRDefault="005B2F8E" w:rsidP="00A851DA">
            <w:pPr>
              <w:rPr>
                <w:rFonts w:ascii="AR BLANCA" w:hAnsi="AR BLANCA" w:cs="Bliss-Regular"/>
                <w:color w:val="000000"/>
              </w:rPr>
            </w:pPr>
            <w:r w:rsidRPr="005B2F8E">
              <w:rPr>
                <w:rFonts w:ascii="AR BLANCA" w:hAnsi="AR BLANCA" w:cs="Bliss-Regular"/>
                <w:color w:val="000000"/>
              </w:rPr>
              <w:t>Calisha Cayonne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5785" w:rsidP="00A851DA">
            <w:pPr>
              <w:rPr>
                <w:rFonts w:cs="Bliss-Regular"/>
                <w:color w:val="000000"/>
              </w:rPr>
            </w:pPr>
            <w:r>
              <w:rPr>
                <w:rFonts w:cs="Bliss-Regular"/>
                <w:color w:val="000000"/>
              </w:rPr>
              <w:t>09/06/2015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438" w:rsidRDefault="002D4438" w:rsidP="00CB4D0A">
      <w:pPr>
        <w:spacing w:after="0" w:line="240" w:lineRule="auto"/>
      </w:pPr>
      <w:r>
        <w:separator/>
      </w:r>
    </w:p>
  </w:endnote>
  <w:endnote w:type="continuationSeparator" w:id="0">
    <w:p w:rsidR="002D4438" w:rsidRDefault="002D44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LANCA">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438" w:rsidRDefault="002D4438" w:rsidP="00CB4D0A">
      <w:pPr>
        <w:spacing w:after="0" w:line="240" w:lineRule="auto"/>
      </w:pPr>
      <w:r>
        <w:separator/>
      </w:r>
    </w:p>
  </w:footnote>
  <w:footnote w:type="continuationSeparator" w:id="0">
    <w:p w:rsidR="002D4438" w:rsidRDefault="002D443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9519806"/>
      <w:docPartObj>
        <w:docPartGallery w:val="Page Numbers (Top of Page)"/>
        <w:docPartUnique/>
      </w:docPartObj>
    </w:sdtPr>
    <w:sdtEndPr>
      <w:rPr>
        <w:noProof/>
      </w:rPr>
    </w:sdtEndPr>
    <w:sdtContent>
      <w:p w:rsidR="0092210C" w:rsidRDefault="0092210C">
        <w:pPr>
          <w:pStyle w:val="Header"/>
          <w:jc w:val="right"/>
        </w:pPr>
        <w:r>
          <w:t>Calisha Cayonne</w:t>
        </w:r>
      </w:p>
      <w:p w:rsidR="0092210C" w:rsidRDefault="0092210C">
        <w:pPr>
          <w:pStyle w:val="Header"/>
          <w:jc w:val="right"/>
        </w:pPr>
        <w:r>
          <w:t>1418</w:t>
        </w:r>
      </w:p>
      <w:p w:rsidR="0092210C" w:rsidRDefault="00FE16D2">
        <w:pPr>
          <w:pStyle w:val="Header"/>
          <w:jc w:val="right"/>
        </w:pPr>
        <w:r>
          <w:t>Assessment 2</w:t>
        </w:r>
      </w:p>
      <w:p w:rsidR="0092210C" w:rsidRDefault="0092210C">
        <w:pPr>
          <w:pStyle w:val="Header"/>
          <w:jc w:val="right"/>
        </w:pPr>
        <w:r>
          <w:t xml:space="preserve">Page </w:t>
        </w:r>
        <w:r>
          <w:fldChar w:fldCharType="begin"/>
        </w:r>
        <w:r>
          <w:instrText xml:space="preserve"> PAGE   \* MERGEFORMAT </w:instrText>
        </w:r>
        <w:r>
          <w:fldChar w:fldCharType="separate"/>
        </w:r>
        <w:r w:rsidR="00AC23BC">
          <w:rPr>
            <w:noProof/>
          </w:rPr>
          <w:t>5</w:t>
        </w:r>
        <w:r>
          <w:rPr>
            <w:noProof/>
          </w:rPr>
          <w:fldChar w:fldCharType="end"/>
        </w:r>
      </w:p>
    </w:sdtContent>
  </w:sdt>
  <w:p w:rsidR="0092210C" w:rsidRDefault="0092210C" w:rsidP="0092210C">
    <w:pPr>
      <w:pStyle w:val="Header"/>
      <w:ind w:left="7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0523A"/>
    <w:multiLevelType w:val="hybridMultilevel"/>
    <w:tmpl w:val="D24091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095DF0"/>
    <w:multiLevelType w:val="hybridMultilevel"/>
    <w:tmpl w:val="2ADCB20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427D0A73"/>
    <w:multiLevelType w:val="hybridMultilevel"/>
    <w:tmpl w:val="EE26BEA8"/>
    <w:lvl w:ilvl="0" w:tplc="BE0E8EF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B751F1"/>
    <w:multiLevelType w:val="hybridMultilevel"/>
    <w:tmpl w:val="A0240378"/>
    <w:lvl w:ilvl="0" w:tplc="E57A1C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6F6306"/>
    <w:multiLevelType w:val="hybridMultilevel"/>
    <w:tmpl w:val="63C88110"/>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15:restartNumberingAfterBreak="0">
    <w:nsid w:val="5F9071C9"/>
    <w:multiLevelType w:val="hybridMultilevel"/>
    <w:tmpl w:val="16A661B6"/>
    <w:lvl w:ilvl="0" w:tplc="04090013">
      <w:start w:val="1"/>
      <w:numFmt w:val="upperRoman"/>
      <w:lvlText w:val="%1."/>
      <w:lvlJc w:val="righ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5FD40FB8"/>
    <w:multiLevelType w:val="hybridMultilevel"/>
    <w:tmpl w:val="28C445D4"/>
    <w:lvl w:ilvl="0" w:tplc="4B10F178">
      <w:start w:val="2"/>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673E039A"/>
    <w:multiLevelType w:val="hybridMultilevel"/>
    <w:tmpl w:val="CF2EBB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40359AC"/>
    <w:multiLevelType w:val="hybridMultilevel"/>
    <w:tmpl w:val="EADEE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8"/>
  </w:num>
  <w:num w:numId="5">
    <w:abstractNumId w:val="2"/>
  </w:num>
  <w:num w:numId="6">
    <w:abstractNumId w:val="6"/>
  </w:num>
  <w:num w:numId="7">
    <w:abstractNumId w:val="1"/>
  </w:num>
  <w:num w:numId="8">
    <w:abstractNumId w:val="7"/>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3C5C"/>
    <w:rsid w:val="001175EE"/>
    <w:rsid w:val="00157CF6"/>
    <w:rsid w:val="00182416"/>
    <w:rsid w:val="00187EB4"/>
    <w:rsid w:val="001F0481"/>
    <w:rsid w:val="00200C92"/>
    <w:rsid w:val="0020451E"/>
    <w:rsid w:val="00206B9D"/>
    <w:rsid w:val="0023259C"/>
    <w:rsid w:val="00234749"/>
    <w:rsid w:val="00282D1D"/>
    <w:rsid w:val="002B0BD7"/>
    <w:rsid w:val="002B2222"/>
    <w:rsid w:val="002B573D"/>
    <w:rsid w:val="002C5CB2"/>
    <w:rsid w:val="002D4438"/>
    <w:rsid w:val="002F779F"/>
    <w:rsid w:val="003517C5"/>
    <w:rsid w:val="00371885"/>
    <w:rsid w:val="003E2B87"/>
    <w:rsid w:val="003F5F17"/>
    <w:rsid w:val="00402786"/>
    <w:rsid w:val="00405895"/>
    <w:rsid w:val="004058DF"/>
    <w:rsid w:val="00443E6F"/>
    <w:rsid w:val="004448E6"/>
    <w:rsid w:val="004574C7"/>
    <w:rsid w:val="00486F1A"/>
    <w:rsid w:val="00490CB9"/>
    <w:rsid w:val="004A2CE2"/>
    <w:rsid w:val="004E3CDA"/>
    <w:rsid w:val="004F46E6"/>
    <w:rsid w:val="004F4B4D"/>
    <w:rsid w:val="0050216D"/>
    <w:rsid w:val="00503587"/>
    <w:rsid w:val="00503D7E"/>
    <w:rsid w:val="0050778F"/>
    <w:rsid w:val="00527C11"/>
    <w:rsid w:val="00535F31"/>
    <w:rsid w:val="00542B23"/>
    <w:rsid w:val="00574D64"/>
    <w:rsid w:val="00591365"/>
    <w:rsid w:val="005B2F8E"/>
    <w:rsid w:val="005B31E4"/>
    <w:rsid w:val="005F4ABC"/>
    <w:rsid w:val="006034F6"/>
    <w:rsid w:val="00607874"/>
    <w:rsid w:val="00607E77"/>
    <w:rsid w:val="00617BB3"/>
    <w:rsid w:val="00645CDD"/>
    <w:rsid w:val="006823A7"/>
    <w:rsid w:val="0068615B"/>
    <w:rsid w:val="00687EE8"/>
    <w:rsid w:val="006A7E91"/>
    <w:rsid w:val="0070347F"/>
    <w:rsid w:val="0070678E"/>
    <w:rsid w:val="007640AF"/>
    <w:rsid w:val="007C6C8E"/>
    <w:rsid w:val="00831C11"/>
    <w:rsid w:val="00877A5C"/>
    <w:rsid w:val="008A60B4"/>
    <w:rsid w:val="008B3C31"/>
    <w:rsid w:val="008B64FE"/>
    <w:rsid w:val="0092210C"/>
    <w:rsid w:val="00935BF7"/>
    <w:rsid w:val="0095442C"/>
    <w:rsid w:val="00983942"/>
    <w:rsid w:val="00985785"/>
    <w:rsid w:val="009C37E0"/>
    <w:rsid w:val="009E41F4"/>
    <w:rsid w:val="00A14B66"/>
    <w:rsid w:val="00A6555F"/>
    <w:rsid w:val="00A65CF7"/>
    <w:rsid w:val="00A81AB4"/>
    <w:rsid w:val="00A851DA"/>
    <w:rsid w:val="00AC23BC"/>
    <w:rsid w:val="00AC7D5B"/>
    <w:rsid w:val="00AE1481"/>
    <w:rsid w:val="00B0415E"/>
    <w:rsid w:val="00B04678"/>
    <w:rsid w:val="00B16855"/>
    <w:rsid w:val="00B63721"/>
    <w:rsid w:val="00B92CD6"/>
    <w:rsid w:val="00BB7AD1"/>
    <w:rsid w:val="00BC46DF"/>
    <w:rsid w:val="00BF61A7"/>
    <w:rsid w:val="00C03577"/>
    <w:rsid w:val="00C53029"/>
    <w:rsid w:val="00C65FEA"/>
    <w:rsid w:val="00C978C2"/>
    <w:rsid w:val="00CA0AC2"/>
    <w:rsid w:val="00CB4D0A"/>
    <w:rsid w:val="00CC2FB3"/>
    <w:rsid w:val="00CC575A"/>
    <w:rsid w:val="00CD4BFE"/>
    <w:rsid w:val="00CF123B"/>
    <w:rsid w:val="00D039AC"/>
    <w:rsid w:val="00D427DE"/>
    <w:rsid w:val="00D5587D"/>
    <w:rsid w:val="00D707CC"/>
    <w:rsid w:val="00D821FE"/>
    <w:rsid w:val="00DA7A83"/>
    <w:rsid w:val="00DB0793"/>
    <w:rsid w:val="00DB2998"/>
    <w:rsid w:val="00E00821"/>
    <w:rsid w:val="00E04DB4"/>
    <w:rsid w:val="00E30679"/>
    <w:rsid w:val="00E4597D"/>
    <w:rsid w:val="00E54832"/>
    <w:rsid w:val="00E56A90"/>
    <w:rsid w:val="00E641CC"/>
    <w:rsid w:val="00EA30AB"/>
    <w:rsid w:val="00EB3925"/>
    <w:rsid w:val="00EC44A7"/>
    <w:rsid w:val="00EE3EB6"/>
    <w:rsid w:val="00F96EB3"/>
    <w:rsid w:val="00FA2AD4"/>
    <w:rsid w:val="00FE16D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6D8D57A8-61DD-4AD8-BBEF-42262F50D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46E6"/>
    <w:rPr>
      <w:color w:val="0000FF" w:themeColor="hyperlink"/>
      <w:u w:val="single"/>
    </w:rPr>
  </w:style>
  <w:style w:type="character" w:styleId="FollowedHyperlink">
    <w:name w:val="FollowedHyperlink"/>
    <w:basedOn w:val="DefaultParagraphFont"/>
    <w:uiPriority w:val="99"/>
    <w:semiHidden/>
    <w:unhideWhenUsed/>
    <w:rsid w:val="002347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reedictionary.com/forge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al-dictionary.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kglawyers.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definitions.uslegal.com" TargetMode="External"/><Relationship Id="rId4" Type="http://schemas.openxmlformats.org/officeDocument/2006/relationships/settings" Target="settings.xml"/><Relationship Id="rId9" Type="http://schemas.openxmlformats.org/officeDocument/2006/relationships/hyperlink" Target="http://www.criminaldefenselawyer.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0EEE0-8F1E-48DB-906D-44AD7C8EB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Calisha Cayonne</cp:lastModifiedBy>
  <cp:revision>7</cp:revision>
  <cp:lastPrinted>2015-06-08T20:29:00Z</cp:lastPrinted>
  <dcterms:created xsi:type="dcterms:W3CDTF">2015-05-27T21:37:00Z</dcterms:created>
  <dcterms:modified xsi:type="dcterms:W3CDTF">2015-06-09T19:44:00Z</dcterms:modified>
</cp:coreProperties>
</file>