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238A1" w:rsidRDefault="003238A1">
            <w:pPr>
              <w:pStyle w:val="Default"/>
              <w:rPr>
                <w:rFonts w:ascii="Arial" w:hAnsi="Arial" w:cs="Arial"/>
              </w:rPr>
            </w:pPr>
            <w:r w:rsidRPr="003238A1">
              <w:rPr>
                <w:rFonts w:ascii="Arial" w:hAnsi="Arial" w:cs="Arial"/>
              </w:rPr>
              <w:t>Gemma Banham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238A1" w:rsidRDefault="003238A1">
            <w:pPr>
              <w:pStyle w:val="Default"/>
              <w:rPr>
                <w:rFonts w:ascii="Arial" w:hAnsi="Arial" w:cs="Arial"/>
              </w:rPr>
            </w:pPr>
            <w:r>
              <w:rPr>
                <w:rFonts w:ascii="Arial" w:hAnsi="Arial" w:cs="Arial"/>
              </w:rPr>
              <w:t>1503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238A1" w:rsidRDefault="003238A1">
            <w:pPr>
              <w:pStyle w:val="Default"/>
              <w:rPr>
                <w:rFonts w:ascii="Arial" w:hAnsi="Arial" w:cs="Arial"/>
              </w:rPr>
            </w:pPr>
            <w:r>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38A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238A1" w:rsidRDefault="003238A1" w:rsidP="00A851DA">
            <w:pPr>
              <w:rPr>
                <w:rFonts w:ascii="Arial" w:hAnsi="Arial" w:cs="Arial"/>
                <w:color w:val="000000"/>
                <w:sz w:val="24"/>
                <w:szCs w:val="24"/>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238A1" w:rsidRDefault="003238A1" w:rsidP="00A851DA">
            <w:pPr>
              <w:rPr>
                <w:rFonts w:ascii="Arial" w:hAnsi="Arial" w:cs="Arial"/>
                <w:color w:val="000000"/>
                <w:sz w:val="24"/>
                <w:szCs w:val="24"/>
              </w:rPr>
            </w:pPr>
            <w:r>
              <w:rPr>
                <w:rFonts w:ascii="Arial" w:hAnsi="Arial" w:cs="Arial"/>
                <w:color w:val="000000"/>
                <w:sz w:val="24"/>
                <w:szCs w:val="24"/>
              </w:rPr>
              <w:t>11/08/2015</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375FDC" w:rsidRDefault="00375FDC" w:rsidP="00375FDC">
      <w:pPr>
        <w:spacing w:line="360" w:lineRule="auto"/>
        <w:jc w:val="both"/>
        <w:rPr>
          <w:rFonts w:ascii="Arial" w:hAnsi="Arial" w:cs="Arial"/>
          <w:sz w:val="24"/>
          <w:szCs w:val="24"/>
        </w:rPr>
      </w:pPr>
      <w:r>
        <w:rPr>
          <w:rFonts w:ascii="Arial" w:hAnsi="Arial" w:cs="Arial"/>
          <w:sz w:val="24"/>
          <w:szCs w:val="24"/>
        </w:rPr>
        <w:lastRenderedPageBreak/>
        <w:t>Q1.</w:t>
      </w:r>
    </w:p>
    <w:p w:rsidR="00375FDC" w:rsidRDefault="00375FDC" w:rsidP="00375FD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Association of Certified Fraud Examiners (ACFE) defines fraud as “the use of one’s occupation for personal enrichment through the deliberate misuse or misapplication of the employing organization’s resources or assets”. </w:t>
      </w:r>
    </w:p>
    <w:p w:rsidR="00375FDC" w:rsidRPr="00113742" w:rsidRDefault="00375FDC" w:rsidP="00375FDC">
      <w:pPr>
        <w:pStyle w:val="ListParagraph"/>
        <w:spacing w:line="360" w:lineRule="auto"/>
        <w:jc w:val="both"/>
        <w:rPr>
          <w:rFonts w:ascii="Arial" w:hAnsi="Arial" w:cs="Arial"/>
          <w:sz w:val="24"/>
          <w:szCs w:val="24"/>
        </w:rPr>
      </w:pPr>
      <w:r>
        <w:rPr>
          <w:rFonts w:ascii="Arial" w:hAnsi="Arial" w:cs="Arial"/>
          <w:sz w:val="24"/>
          <w:szCs w:val="24"/>
        </w:rPr>
        <w:t>It is understood that fraud could take place where three conditions, known as the fraud triangle, are present. These are pressure or incentive, opportunity and attitude &amp; rationalisation. It is in the presence of these 3 factors that a fraud could take place. This deception will be a deliberate act intended to result in personal gain and is illegal. Fraud covers many different acts and is commonly a misrepresentation of either information or of the perpetrator themselves, it could also take the form of abuse of position. Fraud must be differentiated from incompetence or negligence as these are not intended to mislead and are therefore not illegal or considered as fraud.</w:t>
      </w:r>
    </w:p>
    <w:p w:rsidR="00375FDC" w:rsidRDefault="00375FDC" w:rsidP="00375FD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most important skills for the successful practice of forensic accounting are the ability to simplify information and to communicate both written and orally in a way that is clear and easy for non-accountants to understand, if the information found cannot be presented to the client or in court then it is worthless. A knowledge of the legal requirements regarding the collection and custody of evidence is required. Forensic accountants must have a good accounting knowledge as well as excellent investigative skills and the ability to identify the key issues. They must be able to remain objective while using problem solving techniques and detective skills to identify the relevant information, the evidence must be collected in a way that will ensure it will be admissible in court. This might include applying interview skills to secure a confession, a key piece of evidence that must be collected in a legal way. </w:t>
      </w:r>
    </w:p>
    <w:p w:rsidR="00375FDC" w:rsidRDefault="00375FDC" w:rsidP="00375FD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qualities a forensic accountant should possess include the ability to be analytical and detail oriented. They should have an investigative mentality, they should think ‘outside the box’ and be able to consider things like a fraudster would. It should be like a sixth sense that they can know an anomaly is present without having investigated the full details. A traditional accountant or auditor will follow a set of rules and procedures, a forensic accountant must learn to think beyond these and consider how a fraud could have occurred. They should be methodical yet flexible and have a confidence about themselves, whilst </w:t>
      </w:r>
      <w:r>
        <w:rPr>
          <w:rFonts w:ascii="Arial" w:hAnsi="Arial" w:cs="Arial"/>
          <w:sz w:val="24"/>
          <w:szCs w:val="24"/>
        </w:rPr>
        <w:lastRenderedPageBreak/>
        <w:t>being ethical and having a high level of integrity. The interpersonal skills of a forensic accountant should be very high these will be needed in the collection and presentation of evidence.</w:t>
      </w:r>
    </w:p>
    <w:p w:rsidR="00375FDC" w:rsidRDefault="00375FDC" w:rsidP="00375FD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decision to accept a fraud investigation should be based on the level of experience and skills required to undertake the task. In addition any ethical dilemmas regarding the assignment should be considered, this would be to ensure that an independent view can be taken during the analysis. Once accepted the investigation should be planned fully to ensure all objectives of the assignment are covered. The review should then take place and the evidence gathered. All evidence must be obtained in an admissible way and the chain of custody followed. All evidence should then be summarized in a report for the client including details of the full extent of the fraud, how it was carried out and improvements to the internal controls that could avoid this reoccurring. Any confession should also be included in the report if obtained. It is likely that the investigation will lead to court proceedings. The findings should be presented in a clean, professional manner in a way that a non-accountant can understand. </w:t>
      </w:r>
    </w:p>
    <w:p w:rsidR="00375FDC" w:rsidRPr="009D41DF" w:rsidRDefault="00375FDC" w:rsidP="00375FD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assignments undertaken in the capacities of forensic accounting, fraud auditing and investigative auditing will be different to traditional audit work. Their assignments will have boundaries and be focusing on specific irregularities. They will collect detailed factual evidence and present it to their client with recommendations for improvements to deter future frauds, along with the assessment of the loss value. A forensic accountant’s work is concerned with determining if any anomalies are due to errors of judgement or are deliberate misrepresentations. Their findings can be used in legal proceedings. In comparison, a financial auditor works in the public interest forming an audit opinion on the financial statements as a whole. Their task is to provide assurance that no material misstatements are present and if they were that they would be detected. Part of their task is to ensure the financial statements are in line with GAAP and they are concerned with both errors and irregularities.</w:t>
      </w:r>
    </w:p>
    <w:p w:rsidR="00375FDC" w:rsidRDefault="00375FDC" w:rsidP="00375FDC">
      <w:pPr>
        <w:spacing w:line="360" w:lineRule="auto"/>
        <w:jc w:val="both"/>
        <w:rPr>
          <w:rFonts w:ascii="Arial" w:hAnsi="Arial" w:cs="Arial"/>
          <w:sz w:val="24"/>
          <w:szCs w:val="24"/>
        </w:rPr>
      </w:pPr>
      <w:r>
        <w:rPr>
          <w:rFonts w:ascii="Arial" w:hAnsi="Arial" w:cs="Arial"/>
          <w:sz w:val="24"/>
          <w:szCs w:val="24"/>
        </w:rPr>
        <w:t>Case Study</w:t>
      </w:r>
    </w:p>
    <w:p w:rsidR="00375FDC" w:rsidRDefault="00375FDC" w:rsidP="00375FD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The first step in this asset misappropriation investigation would be to consider whether to accept the assignment, ensure the relevant skills and experience are </w:t>
      </w:r>
      <w:r>
        <w:rPr>
          <w:rFonts w:ascii="Arial" w:hAnsi="Arial" w:cs="Arial"/>
          <w:sz w:val="24"/>
          <w:szCs w:val="24"/>
        </w:rPr>
        <w:lastRenderedPageBreak/>
        <w:t>within the team and that there are no ethical issues to consider. After accepting determine the objectives of the assignment and prepare a full plan for the work involved. Once the plan is in place the investigation can begin and evidence can be collected.</w:t>
      </w:r>
    </w:p>
    <w:p w:rsidR="00375FDC" w:rsidRDefault="00375FDC" w:rsidP="00375FD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 documents that I would want to review in the course of this investigation would comprise of the administrator’s expense reports, including the reports which would be filed for the board credit card, to establish which claims were fraudulent; invoices which have been approved by the administrator, either a data extract if possible or the physical invoices; a trial balance download of current data and an extract from before the fraud occurred, to review the values of the general ledger expenses and look for anomalies; and the cheque book, if the cheque book details are incomplete the bank statements or reconciliations would be required to establish the cheque values although any that require further investigation may have to be requested from the bank to determine the payee.</w:t>
      </w:r>
    </w:p>
    <w:p w:rsidR="00375FDC" w:rsidRDefault="00375FDC" w:rsidP="00375FD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The choice of a forensic accountant should be based on the required experience and skills the individual or firm needs, this will ensure they are able to complete the investigation in a way that will ensure the evidence reported is acceptable to be used in any legal action that might be taken against the administrator. This would require knowledge of legal requirements regarding the collection of evidence and custody of the information. The choice should also consider any ethical issues and ensure that the forensic accountant performing the task is independent from any bias. For example, it would be inappropriate to use the current financial auditor to perform this investigation as it is in the auditor’s interest to not find any fraud if they have provided assurance to the financial statements.   </w:t>
      </w:r>
    </w:p>
    <w:p w:rsidR="00375FDC" w:rsidRPr="00E155F2" w:rsidRDefault="00375FDC" w:rsidP="00375FD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Once sufficient evidence has been gathered that confirms the fraud the administrator should be interviewed. The interview would be carried out in an attempt to secure a confession. This would be a key piece of evidence for the investigators but must be obtained in a way that will ensure that it can be used in legal proceedings.</w:t>
      </w:r>
    </w:p>
    <w:p w:rsidR="003238A1" w:rsidRDefault="003238A1" w:rsidP="00A851DA">
      <w:pPr>
        <w:rPr>
          <w:rFonts w:cs="Bliss-Regular"/>
          <w:color w:val="000000"/>
          <w:lang w:val="en-US"/>
        </w:rPr>
      </w:pPr>
    </w:p>
    <w:p w:rsidR="003238A1" w:rsidRDefault="003238A1" w:rsidP="00A851DA">
      <w:pPr>
        <w:rPr>
          <w:rFonts w:cs="Bliss-Regular"/>
          <w:color w:val="000000"/>
          <w:lang w:val="en-US"/>
        </w:rPr>
      </w:pPr>
    </w:p>
    <w:p w:rsidR="003238A1" w:rsidRPr="00B0415E" w:rsidRDefault="003238A1"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FBF" w:rsidRDefault="002C5FBF" w:rsidP="00CB4D0A">
      <w:pPr>
        <w:spacing w:after="0" w:line="240" w:lineRule="auto"/>
      </w:pPr>
      <w:r>
        <w:separator/>
      </w:r>
    </w:p>
  </w:endnote>
  <w:endnote w:type="continuationSeparator" w:id="0">
    <w:p w:rsidR="002C5FBF" w:rsidRDefault="002C5F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FBF" w:rsidRDefault="002C5FBF" w:rsidP="00CB4D0A">
      <w:pPr>
        <w:spacing w:after="0" w:line="240" w:lineRule="auto"/>
      </w:pPr>
      <w:r>
        <w:separator/>
      </w:r>
    </w:p>
  </w:footnote>
  <w:footnote w:type="continuationSeparator" w:id="0">
    <w:p w:rsidR="002C5FBF" w:rsidRDefault="002C5F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996CA1"/>
    <w:multiLevelType w:val="hybridMultilevel"/>
    <w:tmpl w:val="2B163CB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653C0845"/>
    <w:multiLevelType w:val="hybridMultilevel"/>
    <w:tmpl w:val="0298B82C"/>
    <w:lvl w:ilvl="0" w:tplc="84960DA0">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7C97"/>
    <w:rsid w:val="001F0481"/>
    <w:rsid w:val="00200C92"/>
    <w:rsid w:val="0020451E"/>
    <w:rsid w:val="00206B9D"/>
    <w:rsid w:val="0023259C"/>
    <w:rsid w:val="002B0BD7"/>
    <w:rsid w:val="002B573D"/>
    <w:rsid w:val="002C5CB2"/>
    <w:rsid w:val="002C5FBF"/>
    <w:rsid w:val="002F779F"/>
    <w:rsid w:val="003238A1"/>
    <w:rsid w:val="00371885"/>
    <w:rsid w:val="00375FD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7C5C"/>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29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5E117-0827-426B-9EFF-308286B35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4</cp:revision>
  <dcterms:created xsi:type="dcterms:W3CDTF">2015-08-05T14:54:00Z</dcterms:created>
  <dcterms:modified xsi:type="dcterms:W3CDTF">2015-08-11T09:48:00Z</dcterms:modified>
</cp:coreProperties>
</file>