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AF205E" w:rsidP="00F10B12">
            <w:pPr>
              <w:rPr>
                <w:rFonts w:ascii="Arial" w:hAnsi="Arial" w:cs="Arial"/>
                <w:sz w:val="24"/>
                <w:szCs w:val="24"/>
              </w:rPr>
            </w:pPr>
            <w:r>
              <w:rPr>
                <w:rFonts w:ascii="Arial" w:hAnsi="Arial" w:cs="Arial"/>
                <w:sz w:val="24"/>
                <w:szCs w:val="24"/>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205E" w:rsidP="00A851DA">
            <w:pPr>
              <w:rPr>
                <w:rFonts w:cs="Bliss-Regular"/>
                <w:color w:val="000000"/>
              </w:rPr>
            </w:pPr>
            <w:r>
              <w:rPr>
                <w:rFonts w:ascii="Arial" w:hAnsi="Arial" w:cs="Arial"/>
                <w:color w:val="000000"/>
                <w:sz w:val="24"/>
                <w:szCs w:val="24"/>
              </w:rPr>
              <w:t>19</w:t>
            </w:r>
            <w:r w:rsidR="000A53B2">
              <w:rPr>
                <w:rFonts w:ascii="Arial" w:hAnsi="Arial" w:cs="Arial"/>
                <w:color w:val="000000"/>
                <w:sz w:val="24"/>
                <w:szCs w:val="24"/>
              </w:rPr>
              <w:t>/12</w:t>
            </w:r>
            <w:r w:rsidR="00F10B12">
              <w:rPr>
                <w:rFonts w:ascii="Arial" w:hAnsi="Arial" w:cs="Arial"/>
                <w:color w:val="000000"/>
                <w:sz w:val="24"/>
                <w:szCs w:val="24"/>
              </w:rPr>
              <w:t>/2015</w:t>
            </w:r>
          </w:p>
        </w:tc>
      </w:tr>
    </w:tbl>
    <w:p w:rsidR="00AF205E" w:rsidRDefault="00AF205E" w:rsidP="00AF205E">
      <w:pPr>
        <w:spacing w:line="360" w:lineRule="auto"/>
        <w:rPr>
          <w:rFonts w:cs="Bliss-Regular"/>
          <w:color w:val="000000"/>
          <w:lang w:val="en-US"/>
        </w:rPr>
      </w:pPr>
    </w:p>
    <w:p w:rsidR="00AF205E" w:rsidRPr="005A1E9F" w:rsidRDefault="00AF205E" w:rsidP="00AF205E">
      <w:pPr>
        <w:spacing w:line="360" w:lineRule="auto"/>
        <w:rPr>
          <w:rFonts w:ascii="Arial" w:hAnsi="Arial" w:cs="Arial"/>
          <w:sz w:val="24"/>
          <w:szCs w:val="24"/>
        </w:rPr>
      </w:pPr>
      <w:r w:rsidRPr="005A1E9F">
        <w:rPr>
          <w:rFonts w:ascii="Arial" w:hAnsi="Arial" w:cs="Arial"/>
          <w:sz w:val="24"/>
          <w:szCs w:val="24"/>
        </w:rPr>
        <w:lastRenderedPageBreak/>
        <w:t>Q1.</w:t>
      </w:r>
    </w:p>
    <w:p w:rsidR="00AF205E" w:rsidRDefault="00AF205E" w:rsidP="00AF205E">
      <w:pPr>
        <w:pStyle w:val="ListParagraph"/>
        <w:numPr>
          <w:ilvl w:val="0"/>
          <w:numId w:val="12"/>
        </w:numPr>
        <w:spacing w:after="160" w:line="360" w:lineRule="auto"/>
        <w:rPr>
          <w:rFonts w:ascii="Arial" w:hAnsi="Arial" w:cs="Arial"/>
          <w:sz w:val="24"/>
          <w:szCs w:val="24"/>
        </w:rPr>
      </w:pPr>
      <w:r w:rsidRPr="005A1E9F">
        <w:rPr>
          <w:rFonts w:ascii="Arial" w:hAnsi="Arial" w:cs="Arial"/>
          <w:sz w:val="24"/>
          <w:szCs w:val="24"/>
        </w:rPr>
        <w:t>The term “best evidence”</w:t>
      </w:r>
      <w:r>
        <w:rPr>
          <w:rFonts w:ascii="Arial" w:hAnsi="Arial" w:cs="Arial"/>
          <w:sz w:val="24"/>
          <w:szCs w:val="24"/>
        </w:rPr>
        <w:t xml:space="preserve"> refers to a rule that all evidence should be original documents rather than copies. It does not mean that one particular piece of evidence is more appropriate than another. Secondary evidence, such as copies, would not be admissible in court if an original document exists. For a document copy to be admissible the investigator would need to clarify the reasons for the original not being available and prove the accuracy of the copy being submitted.</w:t>
      </w:r>
    </w:p>
    <w:p w:rsidR="00AF205E" w:rsidRDefault="00AF205E" w:rsidP="00AF205E">
      <w:pPr>
        <w:pStyle w:val="ListParagraph"/>
        <w:numPr>
          <w:ilvl w:val="0"/>
          <w:numId w:val="12"/>
        </w:numPr>
        <w:spacing w:after="160" w:line="360" w:lineRule="auto"/>
        <w:rPr>
          <w:rFonts w:ascii="Arial" w:hAnsi="Arial" w:cs="Arial"/>
          <w:sz w:val="24"/>
          <w:szCs w:val="24"/>
        </w:rPr>
      </w:pPr>
      <w:r>
        <w:rPr>
          <w:rFonts w:ascii="Arial" w:hAnsi="Arial" w:cs="Arial"/>
          <w:sz w:val="24"/>
          <w:szCs w:val="24"/>
        </w:rPr>
        <w:t xml:space="preserve">It is important to keep collected evidence in a well-organised manner because if there is any break in the chain of custody of the evidence or if any alteration were made to the evidence it could be argued that it is no longer admissible in court. There is a lot of evidence collected in a financial investigation and to avoid chaos an investigator should create a tracking system. When any document is taken from a suspect or claimant it should be fully detailed and recorded by the investigator, individually as it is best practice not to group documents, and a receipt provided so that no documents existence can be denied later in the investigation, especially if the claimant changes their mind about the allegation or is found to be involved themselves. </w:t>
      </w:r>
    </w:p>
    <w:p w:rsidR="00AF205E" w:rsidRDefault="00AF205E" w:rsidP="00AF205E">
      <w:pPr>
        <w:pStyle w:val="ListParagraph"/>
        <w:numPr>
          <w:ilvl w:val="0"/>
          <w:numId w:val="12"/>
        </w:numPr>
        <w:spacing w:after="160" w:line="360" w:lineRule="auto"/>
        <w:rPr>
          <w:rFonts w:ascii="Arial" w:hAnsi="Arial" w:cs="Arial"/>
          <w:sz w:val="24"/>
          <w:szCs w:val="24"/>
        </w:rPr>
      </w:pPr>
      <w:r>
        <w:rPr>
          <w:rFonts w:ascii="Arial" w:hAnsi="Arial" w:cs="Arial"/>
          <w:sz w:val="24"/>
          <w:szCs w:val="24"/>
        </w:rPr>
        <w:t>Devices which could contain evidence and therefore are helpful in collecting evidence include:</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 xml:space="preserve">Personal Computers  </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Network servers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Mobile telephones and Blackberry’s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Printers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Scanners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Security systems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Storage data</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Vehicle computer devices</w:t>
      </w:r>
    </w:p>
    <w:p w:rsidR="00AF205E" w:rsidRDefault="00AF205E" w:rsidP="00AF205E">
      <w:pPr>
        <w:pStyle w:val="ListParagraph"/>
        <w:numPr>
          <w:ilvl w:val="0"/>
          <w:numId w:val="12"/>
        </w:numPr>
        <w:spacing w:after="160" w:line="360" w:lineRule="auto"/>
        <w:rPr>
          <w:rFonts w:ascii="Arial" w:hAnsi="Arial" w:cs="Arial"/>
          <w:sz w:val="24"/>
          <w:szCs w:val="24"/>
        </w:rPr>
      </w:pPr>
      <w:r>
        <w:rPr>
          <w:rFonts w:ascii="Arial" w:hAnsi="Arial" w:cs="Arial"/>
          <w:sz w:val="24"/>
          <w:szCs w:val="24"/>
        </w:rPr>
        <w:t>When planning for the evidence gathering process you should consider the following points: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Reviewing the clients record retention policies for all business locations, these may vary at different company sites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The on and off site paper storage locations will need to be visited</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lastRenderedPageBreak/>
        <w:t>Ensure the existence of and access to employee records, for both current and past employees, usually through the HR or security department</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Determine the company policy and common practice of employees keeping company files on personal computers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Understand the company hierarchy and approval practices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Check how on and off site electronic data is stored, information about the IT staff and details on whether the data can easily be wiped, also determine if there is a record of any company issued external storage devices (e.g. external hard drives and USB sticks) held by employees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 xml:space="preserve">Determine and </w:t>
      </w:r>
      <w:r>
        <w:rPr>
          <w:rFonts w:ascii="Arial" w:hAnsi="Arial" w:cs="Arial"/>
          <w:sz w:val="24"/>
          <w:szCs w:val="24"/>
        </w:rPr>
        <w:t>analyze</w:t>
      </w:r>
      <w:r>
        <w:rPr>
          <w:rFonts w:ascii="Arial" w:hAnsi="Arial" w:cs="Arial"/>
          <w:sz w:val="24"/>
          <w:szCs w:val="24"/>
        </w:rPr>
        <w:t xml:space="preserve"> any system changes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Review any outsourced functions such as payroll</w:t>
      </w:r>
    </w:p>
    <w:p w:rsidR="00AF205E" w:rsidRPr="00780C61" w:rsidRDefault="00AF205E" w:rsidP="00AF205E">
      <w:pPr>
        <w:pStyle w:val="ListParagraph"/>
        <w:numPr>
          <w:ilvl w:val="0"/>
          <w:numId w:val="12"/>
        </w:numPr>
        <w:spacing w:after="160" w:line="360" w:lineRule="auto"/>
        <w:rPr>
          <w:rFonts w:ascii="Arial" w:hAnsi="Arial" w:cs="Arial"/>
          <w:sz w:val="24"/>
          <w:szCs w:val="24"/>
        </w:rPr>
      </w:pPr>
      <w:r w:rsidRPr="00780C61">
        <w:rPr>
          <w:rFonts w:ascii="Arial" w:hAnsi="Arial" w:cs="Arial"/>
          <w:sz w:val="24"/>
          <w:szCs w:val="24"/>
        </w:rPr>
        <w:t xml:space="preserve">The working papers of a forensic accountant are where he/she will summarize and </w:t>
      </w:r>
      <w:r w:rsidRPr="00780C61">
        <w:rPr>
          <w:rFonts w:ascii="Arial" w:hAnsi="Arial" w:cs="Arial"/>
          <w:sz w:val="24"/>
          <w:szCs w:val="24"/>
        </w:rPr>
        <w:t>analyze</w:t>
      </w:r>
      <w:r w:rsidRPr="00780C61">
        <w:rPr>
          <w:rFonts w:ascii="Arial" w:hAnsi="Arial" w:cs="Arial"/>
          <w:sz w:val="24"/>
          <w:szCs w:val="24"/>
        </w:rPr>
        <w:t xml:space="preserve"> the factual evidence collected. The other documents collected as evidence also form part of the working papers. All investigations are different so the working papers of each investigation will differ, depending on which documents are relevant the working papers may contain:</w:t>
      </w:r>
    </w:p>
    <w:p w:rsidR="00AF205E" w:rsidRPr="00365E37" w:rsidRDefault="00AF205E" w:rsidP="00AF205E">
      <w:pPr>
        <w:pStyle w:val="ListParagraph"/>
        <w:numPr>
          <w:ilvl w:val="1"/>
          <w:numId w:val="12"/>
        </w:numPr>
        <w:spacing w:after="160" w:line="360" w:lineRule="auto"/>
        <w:rPr>
          <w:rFonts w:ascii="Arial" w:hAnsi="Arial" w:cs="Arial"/>
          <w:sz w:val="24"/>
          <w:szCs w:val="24"/>
        </w:rPr>
      </w:pPr>
      <w:r w:rsidRPr="00365E37">
        <w:rPr>
          <w:rFonts w:ascii="Arial" w:hAnsi="Arial" w:cs="Arial"/>
          <w:sz w:val="24"/>
          <w:szCs w:val="24"/>
        </w:rPr>
        <w:t>Accounting records – including general ledgers, trial balances, financial management reports, journal entry records, internal audit reports, reconciliations, invoices, etc.</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Public record searches – this can cover a wide range of information, including newspaper articles and online chat room discussions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Electronic computer files – including e-mails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Photographs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Chain of custody documentation</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Interview notes and audio recordings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Other third-party information – from banks, external auditors, etc.</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Deposition transcripts and court proceedings</w:t>
      </w:r>
    </w:p>
    <w:p w:rsidR="00AF205E" w:rsidRDefault="00AF205E" w:rsidP="00AF205E">
      <w:pPr>
        <w:pStyle w:val="ListParagraph"/>
        <w:numPr>
          <w:ilvl w:val="0"/>
          <w:numId w:val="12"/>
        </w:numPr>
        <w:spacing w:after="160" w:line="360" w:lineRule="auto"/>
        <w:rPr>
          <w:rFonts w:ascii="Arial" w:hAnsi="Arial" w:cs="Arial"/>
          <w:sz w:val="24"/>
          <w:szCs w:val="24"/>
        </w:rPr>
      </w:pPr>
      <w:r>
        <w:rPr>
          <w:rFonts w:ascii="Arial" w:hAnsi="Arial" w:cs="Arial"/>
          <w:sz w:val="24"/>
          <w:szCs w:val="24"/>
        </w:rPr>
        <w:t xml:space="preserve">The evidence gathering process would start with collecting documents from the victim or complainant, this should start as soon as the allegation has been made. The investigators should then start collecting evidence from third-parties who may possess evidence, this would include any banks and professional contacts of the suspect or any business organisations they have interacted with. Through their business dealings the suspect may have industry contacts which may hold relevant information, even industry </w:t>
      </w:r>
      <w:r>
        <w:rPr>
          <w:rFonts w:ascii="Arial" w:hAnsi="Arial" w:cs="Arial"/>
          <w:sz w:val="24"/>
          <w:szCs w:val="24"/>
        </w:rPr>
        <w:lastRenderedPageBreak/>
        <w:t>associations may hold useful information which can support the investigation theories. Government agencies also collect a lot of data which could be relevant to the investigation. In addition, personal contacts such as friends, spouses or exes might hold various pieces of evidence that can be used. Lastly, the investigating team should collect any evidence they can from the suspect. Regardless of how the evidence is collected it is the primary responsibility of the investigator to preserve and safeguard all the relevant documents and be able to produce them as required.</w:t>
      </w:r>
    </w:p>
    <w:p w:rsidR="00AF205E" w:rsidRDefault="00AF205E" w:rsidP="00AF205E">
      <w:pPr>
        <w:pStyle w:val="ListParagraph"/>
        <w:numPr>
          <w:ilvl w:val="0"/>
          <w:numId w:val="12"/>
        </w:numPr>
        <w:spacing w:after="160" w:line="360" w:lineRule="auto"/>
        <w:rPr>
          <w:rFonts w:ascii="Arial" w:hAnsi="Arial" w:cs="Arial"/>
          <w:sz w:val="24"/>
          <w:szCs w:val="24"/>
        </w:rPr>
      </w:pPr>
      <w:r>
        <w:rPr>
          <w:rFonts w:ascii="Arial" w:hAnsi="Arial" w:cs="Arial"/>
          <w:sz w:val="24"/>
          <w:szCs w:val="24"/>
        </w:rPr>
        <w:t>When collecting evidence from third-parties the investigator is most likely to obtain the following types of documents: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Bank statements and metadata from banks and clearing houses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Working papers, income tax returns and preparation memoranda from accountants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Property settlement documents, buyer/seller information, price, down payments, distribution of funds upon completion of a sale for any property dealings from real estate agents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Leases and tenant information from real estate agents if they have acted as property manager for the suspect</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Sale and expense transaction confirmations from industry contacts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Business records such as licenses, annual reports, corporation registrations can be collected from government agency sources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Property title deeds and legal records are also available from government sources</w:t>
      </w:r>
    </w:p>
    <w:p w:rsidR="00AF205E" w:rsidRDefault="00AF205E" w:rsidP="00AF205E">
      <w:pPr>
        <w:pStyle w:val="ListParagraph"/>
        <w:numPr>
          <w:ilvl w:val="1"/>
          <w:numId w:val="12"/>
        </w:numPr>
        <w:spacing w:after="160" w:line="360" w:lineRule="auto"/>
        <w:rPr>
          <w:rFonts w:ascii="Arial" w:hAnsi="Arial" w:cs="Arial"/>
          <w:sz w:val="24"/>
          <w:szCs w:val="24"/>
        </w:rPr>
      </w:pPr>
      <w:r>
        <w:rPr>
          <w:rFonts w:ascii="Arial" w:hAnsi="Arial" w:cs="Arial"/>
          <w:sz w:val="24"/>
          <w:szCs w:val="24"/>
        </w:rPr>
        <w:t>Personal records of the suspect, birth certificate and any name change petitions will also be available from government source data</w:t>
      </w:r>
    </w:p>
    <w:p w:rsidR="00AF205E" w:rsidRDefault="00AF205E" w:rsidP="00AF205E">
      <w:pPr>
        <w:spacing w:line="360" w:lineRule="auto"/>
        <w:rPr>
          <w:rFonts w:ascii="Arial" w:hAnsi="Arial" w:cs="Arial"/>
          <w:sz w:val="24"/>
          <w:szCs w:val="24"/>
        </w:rPr>
      </w:pPr>
    </w:p>
    <w:p w:rsidR="00AF205E" w:rsidRDefault="00AF205E" w:rsidP="00AF205E">
      <w:pPr>
        <w:spacing w:line="360" w:lineRule="auto"/>
        <w:ind w:left="720" w:hanging="720"/>
        <w:rPr>
          <w:rFonts w:ascii="Arial" w:hAnsi="Arial" w:cs="Arial"/>
          <w:sz w:val="24"/>
          <w:szCs w:val="24"/>
        </w:rPr>
      </w:pPr>
      <w:r>
        <w:rPr>
          <w:rFonts w:ascii="Arial" w:hAnsi="Arial" w:cs="Arial"/>
          <w:sz w:val="24"/>
          <w:szCs w:val="24"/>
        </w:rPr>
        <w:t>Q2.</w:t>
      </w:r>
      <w:r>
        <w:rPr>
          <w:rFonts w:ascii="Arial" w:hAnsi="Arial" w:cs="Arial"/>
          <w:sz w:val="24"/>
          <w:szCs w:val="24"/>
        </w:rPr>
        <w:tab/>
        <w:t xml:space="preserve">The evidence collected and presented is what determines if an allegation is proved or disproved. There are different types of evidence, these include, ‘direct evidence’ which proves a fact without requiring any inferences or presumptions; ‘circumstantial evidence’ which proves a fact through inferences or presumptions, this means proving several supporting facts which when presented and analysed together prove the overall fact in question; ‘oral evidence’ from witness accounts, these would be delivered </w:t>
      </w:r>
      <w:r>
        <w:rPr>
          <w:rFonts w:ascii="Arial" w:hAnsi="Arial" w:cs="Arial"/>
          <w:sz w:val="24"/>
          <w:szCs w:val="24"/>
        </w:rPr>
        <w:lastRenderedPageBreak/>
        <w:t xml:space="preserve">under oath in court; ‘documentary evidence’ which includes written material such as official documents, bank statements, property deeds, emails, diaries and photographs; ‘real or physical evidence’ which would consist of tangible items such as property. </w:t>
      </w:r>
    </w:p>
    <w:p w:rsidR="00AF205E" w:rsidRDefault="00AF205E" w:rsidP="00AF205E">
      <w:pPr>
        <w:spacing w:line="360" w:lineRule="auto"/>
        <w:ind w:left="720"/>
        <w:rPr>
          <w:rFonts w:ascii="Arial" w:hAnsi="Arial" w:cs="Arial"/>
          <w:sz w:val="24"/>
          <w:szCs w:val="24"/>
        </w:rPr>
      </w:pPr>
      <w:r>
        <w:rPr>
          <w:rFonts w:ascii="Arial" w:hAnsi="Arial" w:cs="Arial"/>
          <w:sz w:val="24"/>
          <w:szCs w:val="24"/>
        </w:rPr>
        <w:t>The types of evidence used in financial crime investigations depends on the type of investigation. However in all cases the evidence must be relevant, meaning it must be traceable and significant. All evidence must also be material, evidence is described as material if it is significant to the outcome of the trial or if it determines the guilt or innocence of the suspect. The evidence must also be competent, meaning it must be admissible in court. It is possible for evidence to be both relevant and material but be incompetent, this would include evidence such as hearsay (not in the personal knowledge of the witness, e.g. something they overheard).</w:t>
      </w:r>
    </w:p>
    <w:p w:rsidR="00AF205E" w:rsidRDefault="00AF205E" w:rsidP="00AF205E">
      <w:pPr>
        <w:spacing w:line="360" w:lineRule="auto"/>
        <w:ind w:left="720"/>
        <w:rPr>
          <w:rFonts w:ascii="Arial" w:hAnsi="Arial" w:cs="Arial"/>
          <w:sz w:val="24"/>
          <w:szCs w:val="24"/>
        </w:rPr>
      </w:pPr>
    </w:p>
    <w:p w:rsidR="00AF205E" w:rsidRDefault="00AF205E" w:rsidP="00AF205E">
      <w:pPr>
        <w:spacing w:line="360" w:lineRule="auto"/>
        <w:ind w:left="720" w:hanging="720"/>
        <w:rPr>
          <w:rFonts w:ascii="Arial" w:hAnsi="Arial" w:cs="Arial"/>
          <w:sz w:val="24"/>
          <w:szCs w:val="24"/>
        </w:rPr>
      </w:pPr>
      <w:r>
        <w:rPr>
          <w:rFonts w:ascii="Arial" w:hAnsi="Arial" w:cs="Arial"/>
          <w:sz w:val="24"/>
          <w:szCs w:val="24"/>
        </w:rPr>
        <w:t>Q3.</w:t>
      </w:r>
      <w:r>
        <w:rPr>
          <w:rFonts w:ascii="Arial" w:hAnsi="Arial" w:cs="Arial"/>
          <w:sz w:val="24"/>
          <w:szCs w:val="24"/>
        </w:rPr>
        <w:tab/>
        <w:t xml:space="preserve">The type of evidence that is collected is the basic difference between a financial crime investigation and a non-financial crime investigation. In a non-financial crime investigation, such as a murder, it is most likely to be real or physical evidence that the investigation team will be focussing on, such as the weapon and any fingerprints. Although non-financial crimes may have some documentary evidence it is much less likely, in comparison, in financial crimes there will be significant amounts of documentary evidence such as contracts, accounting data, emails, deeds, letters and photographs. Investigators will have to search through significant amounts of data and other information or documents to collect the relevant and material evidence required to prove a financial crime. This could involve collecting data from various sources including the suspect’s business activities, personal contacts, professional contacts and information from government searches. There is usually significantly more evidence collected for a financial crime than a non-financial crime.  </w:t>
      </w:r>
    </w:p>
    <w:p w:rsidR="000B62F5" w:rsidRDefault="000B62F5" w:rsidP="00A851DA">
      <w:pPr>
        <w:rPr>
          <w:rFonts w:cs="Bliss-Regular"/>
          <w:color w:val="000000"/>
          <w:lang w:val="en-US"/>
        </w:rPr>
      </w:pPr>
    </w:p>
    <w:p w:rsidR="000B62F5" w:rsidRPr="00B0415E" w:rsidRDefault="000B62F5"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5F4" w:rsidRDefault="00B145F4" w:rsidP="00CB4D0A">
      <w:pPr>
        <w:spacing w:after="0" w:line="240" w:lineRule="auto"/>
      </w:pPr>
      <w:r>
        <w:separator/>
      </w:r>
    </w:p>
  </w:endnote>
  <w:endnote w:type="continuationSeparator" w:id="0">
    <w:p w:rsidR="00B145F4" w:rsidRDefault="00B145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5F4" w:rsidRDefault="00B145F4" w:rsidP="00CB4D0A">
      <w:pPr>
        <w:spacing w:after="0" w:line="240" w:lineRule="auto"/>
      </w:pPr>
      <w:r>
        <w:separator/>
      </w:r>
    </w:p>
  </w:footnote>
  <w:footnote w:type="continuationSeparator" w:id="0">
    <w:p w:rsidR="00B145F4" w:rsidRDefault="00B145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7" w15:restartNumberingAfterBreak="0">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8"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6EFE538B"/>
    <w:multiLevelType w:val="hybridMultilevel"/>
    <w:tmpl w:val="B90CA24E"/>
    <w:lvl w:ilvl="0" w:tplc="B0925CF0">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10"/>
  </w:num>
  <w:num w:numId="10">
    <w:abstractNumId w:val="4"/>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3198"/>
    <w:rsid w:val="0070347F"/>
    <w:rsid w:val="0070678E"/>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E1481"/>
    <w:rsid w:val="00AF205E"/>
    <w:rsid w:val="00B0415E"/>
    <w:rsid w:val="00B04678"/>
    <w:rsid w:val="00B145F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FCD"/>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FFB1B-C091-4228-B540-018A1788B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5</cp:revision>
  <dcterms:created xsi:type="dcterms:W3CDTF">2015-12-15T19:52:00Z</dcterms:created>
  <dcterms:modified xsi:type="dcterms:W3CDTF">2015-12-19T15:31:00Z</dcterms:modified>
</cp:coreProperties>
</file>