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0159" w:rsidP="00A851DA">
      <w:pPr>
        <w:rPr>
          <w:lang w:val="en-US"/>
        </w:rPr>
      </w:pPr>
      <w:r w:rsidRPr="001B015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8F3">
            <w:pPr>
              <w:pStyle w:val="Default"/>
              <w:rPr>
                <w:rFonts w:asciiTheme="minorHAnsi" w:hAnsiTheme="minorHAnsi"/>
              </w:rPr>
            </w:pPr>
            <w:proofErr w:type="spellStart"/>
            <w:r>
              <w:rPr>
                <w:rFonts w:asciiTheme="minorHAnsi" w:hAnsiTheme="minorHAnsi"/>
              </w:rPr>
              <w:t>Balmick</w:t>
            </w:r>
            <w:proofErr w:type="spellEnd"/>
            <w:r>
              <w:rPr>
                <w:rFonts w:asciiTheme="minorHAnsi" w:hAnsiTheme="minorHAnsi"/>
              </w:rPr>
              <w:t xml:space="preserve"> Kumar </w:t>
            </w:r>
            <w:proofErr w:type="spellStart"/>
            <w:r>
              <w:rPr>
                <w:rFonts w:asciiTheme="minorHAnsi" w:hAnsiTheme="minorHAnsi"/>
              </w:rPr>
              <w:t>Dussoye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68F3">
            <w:pPr>
              <w:pStyle w:val="Default"/>
              <w:rPr>
                <w:rFonts w:asciiTheme="minorHAnsi" w:hAnsiTheme="minorHAnsi"/>
              </w:rPr>
            </w:pPr>
            <w:r>
              <w:rPr>
                <w:rFonts w:asciiTheme="minorHAnsi" w:hAnsiTheme="minorHAnsi"/>
              </w:rPr>
              <w:t>1592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8F3">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8F3">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D68F3" w:rsidRDefault="00DD68F3" w:rsidP="00DD68F3">
            <w:pPr>
              <w:pStyle w:val="normal0"/>
            </w:pPr>
            <w:r>
              <w:t>Assessment 7</w:t>
            </w:r>
          </w:p>
          <w:p w:rsidR="00DD68F3" w:rsidRDefault="00DD68F3" w:rsidP="00DD68F3">
            <w:pPr>
              <w:pStyle w:val="normal0"/>
            </w:pPr>
          </w:p>
          <w:p w:rsidR="00DD68F3" w:rsidRDefault="00DD68F3" w:rsidP="00DD68F3">
            <w:pPr>
              <w:pStyle w:val="normal0"/>
              <w:numPr>
                <w:ilvl w:val="0"/>
                <w:numId w:val="4"/>
              </w:numPr>
              <w:ind w:hanging="360"/>
              <w:contextualSpacing/>
            </w:pPr>
            <w:r>
              <w:t xml:space="preserve">Non-financial sources of evidence range from interviews to the physiological traits of the fraudster by passing through handwriting analysis and document </w:t>
            </w:r>
            <w:proofErr w:type="spellStart"/>
            <w:r>
              <w:t>examination.The</w:t>
            </w:r>
            <w:proofErr w:type="spellEnd"/>
            <w:r>
              <w:t xml:space="preserve"> physiological traits of a fraudster are important because they relate to his </w:t>
            </w:r>
            <w:proofErr w:type="spellStart"/>
            <w:r>
              <w:t>behaviour</w:t>
            </w:r>
            <w:proofErr w:type="spellEnd"/>
            <w:r>
              <w:t>, expressions or any communication that indicates the fraudster’s involvement in the crime and will enable the investigating officer to detect fraud and deception.</w:t>
            </w:r>
          </w:p>
          <w:p w:rsidR="00DD68F3" w:rsidRDefault="00DD68F3" w:rsidP="00DD68F3">
            <w:pPr>
              <w:pStyle w:val="normal0"/>
            </w:pPr>
          </w:p>
          <w:p w:rsidR="00DD68F3" w:rsidRDefault="00DD68F3" w:rsidP="00DD68F3">
            <w:pPr>
              <w:pStyle w:val="normal0"/>
              <w:numPr>
                <w:ilvl w:val="0"/>
                <w:numId w:val="4"/>
              </w:numPr>
              <w:ind w:hanging="360"/>
              <w:contextualSpacing/>
            </w:pPr>
            <w:r>
              <w:rPr>
                <w:highlight w:val="white"/>
              </w:rPr>
              <w:t>Body language is a kind of nonverbal communication, where thoughts, intentions, or feelings are expressed by physical behaviors, such as facial expressions, body posture, gestures, eye movement, touch and the use of space.</w:t>
            </w:r>
            <w:r>
              <w:rPr>
                <w:highlight w:val="white"/>
              </w:rPr>
              <w:br/>
              <w:t xml:space="preserve">The importance of body language in the interviewing process is that humans reveal much more through their body language than through words, especially when they are under </w:t>
            </w:r>
            <w:proofErr w:type="spellStart"/>
            <w:r>
              <w:rPr>
                <w:highlight w:val="white"/>
              </w:rPr>
              <w:t>stress.They</w:t>
            </w:r>
            <w:proofErr w:type="spellEnd"/>
            <w:r>
              <w:rPr>
                <w:highlight w:val="white"/>
              </w:rPr>
              <w:t xml:space="preserve"> include stuttering, speech errors, hesitation, increased vocal pitch, excessive blinking, pupil dilation, touching the hands or the face excessively, shrugging the shoulders and so on.  Hence, it is important for an interviewer to observe the gestures and verbal </w:t>
            </w:r>
            <w:proofErr w:type="spellStart"/>
            <w:r>
              <w:rPr>
                <w:highlight w:val="white"/>
              </w:rPr>
              <w:t>behaviour</w:t>
            </w:r>
            <w:proofErr w:type="spellEnd"/>
            <w:r>
              <w:rPr>
                <w:highlight w:val="white"/>
              </w:rPr>
              <w:t xml:space="preserve"> of a fraudster.</w:t>
            </w:r>
            <w:r>
              <w:rPr>
                <w:highlight w:val="white"/>
              </w:rPr>
              <w:br/>
            </w:r>
          </w:p>
          <w:p w:rsidR="00DD68F3" w:rsidRDefault="00DD68F3" w:rsidP="00DD68F3">
            <w:pPr>
              <w:pStyle w:val="normal0"/>
              <w:numPr>
                <w:ilvl w:val="0"/>
                <w:numId w:val="4"/>
              </w:numPr>
              <w:ind w:hanging="360"/>
              <w:contextualSpacing/>
              <w:rPr>
                <w:highlight w:val="white"/>
              </w:rPr>
            </w:pPr>
            <w:r>
              <w:rPr>
                <w:highlight w:val="white"/>
              </w:rPr>
              <w:t xml:space="preserve">SCAN stands for Scientific Content Analysis and is similar to statement analysis. SCAN, like statement analysis is aimed at detecting deception rather than determining </w:t>
            </w:r>
            <w:proofErr w:type="spellStart"/>
            <w:r>
              <w:rPr>
                <w:highlight w:val="white"/>
              </w:rPr>
              <w:t>truthfulness.Fraudsters</w:t>
            </w:r>
            <w:proofErr w:type="spellEnd"/>
            <w:r>
              <w:rPr>
                <w:highlight w:val="white"/>
              </w:rPr>
              <w:t xml:space="preserve"> tend to deceive indirectly that is through hedging, leaving out critical facts, pretending to be forgetful or ignorant, using a choice of words that distances them from making damaging </w:t>
            </w:r>
            <w:proofErr w:type="gramStart"/>
            <w:r>
              <w:rPr>
                <w:highlight w:val="white"/>
              </w:rPr>
              <w:t>statements  rather</w:t>
            </w:r>
            <w:proofErr w:type="gramEnd"/>
            <w:r>
              <w:rPr>
                <w:highlight w:val="white"/>
              </w:rPr>
              <w:t xml:space="preserve"> than telling blatant </w:t>
            </w:r>
            <w:proofErr w:type="spellStart"/>
            <w:r>
              <w:rPr>
                <w:highlight w:val="white"/>
              </w:rPr>
              <w:t>lies.Thus</w:t>
            </w:r>
            <w:proofErr w:type="spellEnd"/>
            <w:r>
              <w:rPr>
                <w:highlight w:val="white"/>
              </w:rPr>
              <w:t xml:space="preserve"> the analyst needs an unambiguous truthful statement from the suspect in order for SCAN to be effective. Like statement analysis, SCAN looks for a shift in pronouns and gaps in the narration which indicates deception. Claiming ignorance is considered as an attempt to conceal truthful acts and a change in tense </w:t>
            </w:r>
            <w:r>
              <w:rPr>
                <w:highlight w:val="white"/>
              </w:rPr>
              <w:lastRenderedPageBreak/>
              <w:t>reflects a strong emotional response.</w:t>
            </w:r>
            <w:r>
              <w:rPr>
                <w:highlight w:val="white"/>
              </w:rPr>
              <w:br/>
            </w:r>
          </w:p>
          <w:p w:rsidR="00DD68F3" w:rsidRDefault="00DD68F3" w:rsidP="00DD68F3">
            <w:pPr>
              <w:pStyle w:val="normal0"/>
              <w:numPr>
                <w:ilvl w:val="0"/>
                <w:numId w:val="4"/>
              </w:numPr>
              <w:ind w:hanging="360"/>
              <w:contextualSpacing/>
              <w:rPr>
                <w:highlight w:val="white"/>
              </w:rPr>
            </w:pPr>
            <w:r>
              <w:rPr>
                <w:highlight w:val="white"/>
              </w:rPr>
              <w:t xml:space="preserve">Visual Assessing Cues (VAC) refers to the language of the eyes and the principles related to it. Eye movement cues and interpretations are only applicable to right-handed </w:t>
            </w:r>
            <w:proofErr w:type="spellStart"/>
            <w:r>
              <w:rPr>
                <w:highlight w:val="white"/>
              </w:rPr>
              <w:t>people.Therefore</w:t>
            </w:r>
            <w:proofErr w:type="spellEnd"/>
            <w:r>
              <w:rPr>
                <w:highlight w:val="white"/>
              </w:rPr>
              <w:t>, it is important to know whether the interviewee is right handed or left handed in order to interpret the cues correctly and to avoid interpreting truthful responses as deceitful. The eyes of the victim can help the interviewer as follows:</w:t>
            </w:r>
            <w:r>
              <w:rPr>
                <w:highlight w:val="white"/>
              </w:rPr>
              <w:br/>
            </w:r>
          </w:p>
          <w:p w:rsidR="00DD68F3" w:rsidRDefault="00DD68F3" w:rsidP="00DD68F3">
            <w:pPr>
              <w:pStyle w:val="normal0"/>
              <w:numPr>
                <w:ilvl w:val="0"/>
                <w:numId w:val="2"/>
              </w:numPr>
              <w:ind w:hanging="360"/>
              <w:contextualSpacing/>
              <w:rPr>
                <w:highlight w:val="white"/>
              </w:rPr>
            </w:pPr>
            <w:r>
              <w:rPr>
                <w:highlight w:val="white"/>
              </w:rPr>
              <w:t xml:space="preserve">Eyes to the left and up .Recalling the past in visual images, </w:t>
            </w:r>
            <w:proofErr w:type="spellStart"/>
            <w:r>
              <w:rPr>
                <w:highlight w:val="white"/>
              </w:rPr>
              <w:t>e.g</w:t>
            </w:r>
            <w:proofErr w:type="spellEnd"/>
            <w:r>
              <w:rPr>
                <w:highlight w:val="white"/>
              </w:rPr>
              <w:t xml:space="preserve"> ‘’what </w:t>
            </w:r>
            <w:proofErr w:type="spellStart"/>
            <w:r>
              <w:rPr>
                <w:highlight w:val="white"/>
              </w:rPr>
              <w:t>colour</w:t>
            </w:r>
            <w:proofErr w:type="spellEnd"/>
            <w:r>
              <w:rPr>
                <w:highlight w:val="white"/>
              </w:rPr>
              <w:t xml:space="preserve"> was your first car?’’</w:t>
            </w:r>
          </w:p>
          <w:p w:rsidR="00DD68F3" w:rsidRDefault="00DD68F3" w:rsidP="00DD68F3">
            <w:pPr>
              <w:pStyle w:val="normal0"/>
              <w:numPr>
                <w:ilvl w:val="0"/>
                <w:numId w:val="2"/>
              </w:numPr>
              <w:ind w:hanging="360"/>
              <w:contextualSpacing/>
              <w:rPr>
                <w:highlight w:val="white"/>
              </w:rPr>
            </w:pPr>
            <w:r>
              <w:rPr>
                <w:highlight w:val="white"/>
              </w:rPr>
              <w:t>Eyes to the left toward the ear .Retrieving memories in auditory form or recalling sounds. For example, ‘</w:t>
            </w:r>
            <w:proofErr w:type="gramStart"/>
            <w:r>
              <w:rPr>
                <w:highlight w:val="white"/>
              </w:rPr>
              <w:t>Which</w:t>
            </w:r>
            <w:proofErr w:type="gramEnd"/>
            <w:r>
              <w:rPr>
                <w:highlight w:val="white"/>
              </w:rPr>
              <w:t xml:space="preserve"> ringtone did you use for your first cell phone?’’</w:t>
            </w:r>
          </w:p>
          <w:p w:rsidR="00DD68F3" w:rsidRDefault="00DD68F3" w:rsidP="00DD68F3">
            <w:pPr>
              <w:pStyle w:val="normal0"/>
              <w:numPr>
                <w:ilvl w:val="0"/>
                <w:numId w:val="2"/>
              </w:numPr>
              <w:ind w:hanging="360"/>
              <w:contextualSpacing/>
              <w:rPr>
                <w:highlight w:val="white"/>
              </w:rPr>
            </w:pPr>
            <w:r>
              <w:rPr>
                <w:highlight w:val="white"/>
              </w:rPr>
              <w:t>Eyes to the left and down. Generally associated with an internal dialogue. As it is a movement made by people when they are talking to themselves.</w:t>
            </w:r>
          </w:p>
          <w:p w:rsidR="00DD68F3" w:rsidRDefault="00DD68F3" w:rsidP="00DD68F3">
            <w:pPr>
              <w:pStyle w:val="normal0"/>
              <w:numPr>
                <w:ilvl w:val="0"/>
                <w:numId w:val="2"/>
              </w:numPr>
              <w:ind w:hanging="360"/>
              <w:contextualSpacing/>
              <w:rPr>
                <w:highlight w:val="white"/>
              </w:rPr>
            </w:pPr>
            <w:r>
              <w:rPr>
                <w:highlight w:val="white"/>
              </w:rPr>
              <w:t xml:space="preserve">Eyes to the right and up. Constructing images for the future, </w:t>
            </w:r>
            <w:proofErr w:type="spellStart"/>
            <w:r>
              <w:rPr>
                <w:highlight w:val="white"/>
              </w:rPr>
              <w:t>e.g</w:t>
            </w:r>
            <w:proofErr w:type="spellEnd"/>
            <w:r>
              <w:rPr>
                <w:highlight w:val="white"/>
              </w:rPr>
              <w:t xml:space="preserve"> ‘’ </w:t>
            </w:r>
            <w:proofErr w:type="gramStart"/>
            <w:r>
              <w:rPr>
                <w:highlight w:val="white"/>
              </w:rPr>
              <w:t>What</w:t>
            </w:r>
            <w:proofErr w:type="gramEnd"/>
            <w:r>
              <w:rPr>
                <w:highlight w:val="white"/>
              </w:rPr>
              <w:t xml:space="preserve"> would your next house look like? ‘’</w:t>
            </w:r>
          </w:p>
          <w:p w:rsidR="00DD68F3" w:rsidRDefault="00DD68F3" w:rsidP="00DD68F3">
            <w:pPr>
              <w:pStyle w:val="normal0"/>
              <w:numPr>
                <w:ilvl w:val="0"/>
                <w:numId w:val="2"/>
              </w:numPr>
              <w:ind w:hanging="360"/>
              <w:contextualSpacing/>
              <w:rPr>
                <w:highlight w:val="white"/>
              </w:rPr>
            </w:pPr>
            <w:r>
              <w:rPr>
                <w:highlight w:val="white"/>
              </w:rPr>
              <w:t xml:space="preserve">Eyes to the right toward the ear. Associated with creating sounds, </w:t>
            </w:r>
            <w:proofErr w:type="spellStart"/>
            <w:r>
              <w:rPr>
                <w:highlight w:val="white"/>
              </w:rPr>
              <w:t>e.g</w:t>
            </w:r>
            <w:proofErr w:type="spellEnd"/>
            <w:r>
              <w:rPr>
                <w:highlight w:val="white"/>
              </w:rPr>
              <w:t>’’ Can you create your own song and sing it?’’</w:t>
            </w:r>
          </w:p>
          <w:p w:rsidR="00DD68F3" w:rsidRDefault="00DD68F3" w:rsidP="00DD68F3">
            <w:pPr>
              <w:pStyle w:val="normal0"/>
              <w:numPr>
                <w:ilvl w:val="0"/>
                <w:numId w:val="2"/>
              </w:numPr>
              <w:ind w:hanging="360"/>
              <w:contextualSpacing/>
              <w:rPr>
                <w:highlight w:val="white"/>
              </w:rPr>
            </w:pPr>
            <w:r>
              <w:rPr>
                <w:highlight w:val="white"/>
              </w:rPr>
              <w:t xml:space="preserve">Eyes to the right and down. Associated with </w:t>
            </w:r>
            <w:proofErr w:type="spellStart"/>
            <w:r>
              <w:rPr>
                <w:highlight w:val="white"/>
              </w:rPr>
              <w:t>kinaesthetic</w:t>
            </w:r>
            <w:proofErr w:type="spellEnd"/>
            <w:r>
              <w:rPr>
                <w:highlight w:val="white"/>
              </w:rPr>
              <w:t xml:space="preserve"> or feelings, </w:t>
            </w:r>
            <w:proofErr w:type="spellStart"/>
            <w:r>
              <w:rPr>
                <w:highlight w:val="white"/>
              </w:rPr>
              <w:t>e.g</w:t>
            </w:r>
            <w:proofErr w:type="spellEnd"/>
            <w:r>
              <w:rPr>
                <w:highlight w:val="white"/>
              </w:rPr>
              <w:t xml:space="preserve"> ‘’Do you remember the smell of campfire?’’</w:t>
            </w:r>
          </w:p>
          <w:p w:rsidR="00DD68F3" w:rsidRDefault="00DD68F3" w:rsidP="00DD68F3">
            <w:pPr>
              <w:pStyle w:val="normal0"/>
            </w:pPr>
          </w:p>
          <w:p w:rsidR="00DD68F3" w:rsidRDefault="00DD68F3" w:rsidP="00DD68F3">
            <w:pPr>
              <w:pStyle w:val="normal0"/>
            </w:pPr>
            <w:r>
              <w:rPr>
                <w:highlight w:val="white"/>
              </w:rPr>
              <w:t xml:space="preserve">5. Other cues, in addition to body language can help to identify lies. They are: </w:t>
            </w:r>
          </w:p>
          <w:p w:rsidR="00DD68F3" w:rsidRDefault="00DD68F3" w:rsidP="00DD68F3">
            <w:pPr>
              <w:pStyle w:val="normal0"/>
              <w:numPr>
                <w:ilvl w:val="0"/>
                <w:numId w:val="5"/>
              </w:numPr>
              <w:ind w:hanging="360"/>
              <w:contextualSpacing/>
              <w:rPr>
                <w:highlight w:val="white"/>
              </w:rPr>
            </w:pPr>
            <w:r>
              <w:rPr>
                <w:highlight w:val="white"/>
              </w:rPr>
              <w:t>Interpersonal interactions. For example, a person may shake his head and say ‘’yes’’ after making a point; these are inconsistent gestures.</w:t>
            </w:r>
          </w:p>
          <w:p w:rsidR="00DD68F3" w:rsidRDefault="00DD68F3" w:rsidP="00DD68F3">
            <w:pPr>
              <w:pStyle w:val="normal0"/>
              <w:numPr>
                <w:ilvl w:val="0"/>
                <w:numId w:val="5"/>
              </w:numPr>
              <w:ind w:hanging="360"/>
              <w:contextualSpacing/>
              <w:rPr>
                <w:highlight w:val="white"/>
              </w:rPr>
            </w:pPr>
            <w:r>
              <w:rPr>
                <w:highlight w:val="white"/>
              </w:rPr>
              <w:t>Emotional states. A deceitful person will usually avoid touching the person investigating or questioning him/her.</w:t>
            </w:r>
          </w:p>
          <w:p w:rsidR="00DD68F3" w:rsidRDefault="00DD68F3" w:rsidP="00DD68F3">
            <w:pPr>
              <w:pStyle w:val="normal0"/>
              <w:numPr>
                <w:ilvl w:val="0"/>
                <w:numId w:val="5"/>
              </w:numPr>
              <w:ind w:hanging="360"/>
              <w:contextualSpacing/>
              <w:rPr>
                <w:highlight w:val="white"/>
              </w:rPr>
            </w:pPr>
            <w:r>
              <w:rPr>
                <w:highlight w:val="white"/>
              </w:rPr>
              <w:t xml:space="preserve">Verbal content. For example, reflecting the question in the answer immediately after the question has been asked. Question: ‘’Did you write a </w:t>
            </w:r>
            <w:proofErr w:type="spellStart"/>
            <w:r>
              <w:rPr>
                <w:highlight w:val="white"/>
              </w:rPr>
              <w:t>cheque</w:t>
            </w:r>
            <w:proofErr w:type="spellEnd"/>
            <w:r>
              <w:rPr>
                <w:highlight w:val="white"/>
              </w:rPr>
              <w:t xml:space="preserve"> to yourself?’’ Answer: ‘’No, I did not write a </w:t>
            </w:r>
            <w:proofErr w:type="spellStart"/>
            <w:r>
              <w:rPr>
                <w:highlight w:val="white"/>
              </w:rPr>
              <w:t>cheque</w:t>
            </w:r>
            <w:proofErr w:type="spellEnd"/>
            <w:r>
              <w:rPr>
                <w:highlight w:val="white"/>
              </w:rPr>
              <w:t xml:space="preserve"> to myself’’</w:t>
            </w:r>
          </w:p>
          <w:p w:rsidR="00DD68F3" w:rsidRDefault="00DD68F3" w:rsidP="00DD68F3">
            <w:pPr>
              <w:pStyle w:val="normal0"/>
              <w:numPr>
                <w:ilvl w:val="0"/>
                <w:numId w:val="5"/>
              </w:numPr>
              <w:ind w:hanging="360"/>
              <w:contextualSpacing/>
              <w:rPr>
                <w:highlight w:val="white"/>
              </w:rPr>
            </w:pPr>
            <w:r>
              <w:rPr>
                <w:highlight w:val="white"/>
              </w:rPr>
              <w:t>How comments are phrased. Replacing the pronoun in order to dissociate people or events, for example using ‘’the equipment’’ instead of ‘’my equipment’’.</w:t>
            </w:r>
          </w:p>
          <w:p w:rsidR="00DD68F3" w:rsidRDefault="00DD68F3" w:rsidP="00DD68F3">
            <w:pPr>
              <w:pStyle w:val="normal0"/>
              <w:numPr>
                <w:ilvl w:val="0"/>
                <w:numId w:val="5"/>
              </w:numPr>
              <w:ind w:hanging="360"/>
              <w:contextualSpacing/>
              <w:rPr>
                <w:highlight w:val="white"/>
              </w:rPr>
            </w:pPr>
            <w:r>
              <w:rPr>
                <w:highlight w:val="white"/>
              </w:rPr>
              <w:t xml:space="preserve">Psychological frames. Lies and deceitful statements always leave out details of what went wrong, except for details related to delays and cancellations. </w:t>
            </w:r>
          </w:p>
          <w:p w:rsidR="00DD68F3" w:rsidRDefault="00DD68F3" w:rsidP="00DD68F3">
            <w:pPr>
              <w:pStyle w:val="normal0"/>
            </w:pPr>
          </w:p>
          <w:p w:rsidR="00DD68F3" w:rsidRDefault="00DD68F3" w:rsidP="00DD68F3">
            <w:pPr>
              <w:pStyle w:val="normal0"/>
            </w:pPr>
            <w:r>
              <w:rPr>
                <w:highlight w:val="white"/>
              </w:rPr>
              <w:t>Question 2</w:t>
            </w:r>
          </w:p>
          <w:p w:rsidR="00DD68F3" w:rsidRDefault="00DD68F3" w:rsidP="00DD68F3">
            <w:pPr>
              <w:pStyle w:val="normal0"/>
            </w:pPr>
          </w:p>
          <w:p w:rsidR="00DD68F3" w:rsidRDefault="00DD68F3" w:rsidP="00DD68F3">
            <w:pPr>
              <w:pStyle w:val="normal0"/>
            </w:pPr>
            <w:r>
              <w:rPr>
                <w:highlight w:val="white"/>
              </w:rPr>
              <w:t xml:space="preserve">The job of an internal or external auditor is to ask questions such as cash flow, inflow and outflow. Also questions about FOREX </w:t>
            </w:r>
            <w:proofErr w:type="gramStart"/>
            <w:r>
              <w:rPr>
                <w:highlight w:val="white"/>
              </w:rPr>
              <w:t>( Foreign</w:t>
            </w:r>
            <w:proofErr w:type="gramEnd"/>
            <w:r>
              <w:rPr>
                <w:highlight w:val="white"/>
              </w:rPr>
              <w:t xml:space="preserve"> Exchange) and stock market may be asked. Furthermore, they also like to enquire about the figures obtained through card transactions and rates </w:t>
            </w:r>
            <w:proofErr w:type="gramStart"/>
            <w:r>
              <w:rPr>
                <w:highlight w:val="white"/>
              </w:rPr>
              <w:t>in  order</w:t>
            </w:r>
            <w:proofErr w:type="gramEnd"/>
            <w:r>
              <w:rPr>
                <w:highlight w:val="white"/>
              </w:rPr>
              <w:t xml:space="preserve"> to understand shortage or excess revenue. Overall, auditors usually use open ended questions, but expect short answers as the interviewee usually responds by providing figures. Sometimes, they are asked to provided fuller answers to explain some activities done by the auditor but most of the time, they produce data on hard copies to explain some facts, whereas in order to ask effective questions during a fraud investigation, it is important to use best practices for interview techniques. The questions asked during the interview should fall into any of the following categories.</w:t>
            </w:r>
          </w:p>
          <w:p w:rsidR="00DD68F3" w:rsidRDefault="00DD68F3" w:rsidP="00DD68F3">
            <w:pPr>
              <w:pStyle w:val="normal0"/>
              <w:numPr>
                <w:ilvl w:val="0"/>
                <w:numId w:val="6"/>
              </w:numPr>
              <w:ind w:hanging="360"/>
              <w:contextualSpacing/>
              <w:rPr>
                <w:highlight w:val="white"/>
              </w:rPr>
            </w:pPr>
            <w:r>
              <w:rPr>
                <w:highlight w:val="white"/>
              </w:rPr>
              <w:t>Introductory</w:t>
            </w:r>
          </w:p>
          <w:p w:rsidR="00DD68F3" w:rsidRDefault="00DD68F3" w:rsidP="00DD68F3">
            <w:pPr>
              <w:pStyle w:val="normal0"/>
              <w:numPr>
                <w:ilvl w:val="0"/>
                <w:numId w:val="6"/>
              </w:numPr>
              <w:ind w:hanging="360"/>
              <w:contextualSpacing/>
              <w:rPr>
                <w:highlight w:val="white"/>
              </w:rPr>
            </w:pPr>
            <w:r>
              <w:rPr>
                <w:highlight w:val="white"/>
              </w:rPr>
              <w:t>Informational</w:t>
            </w:r>
          </w:p>
          <w:p w:rsidR="00DD68F3" w:rsidRDefault="00DD68F3" w:rsidP="00DD68F3">
            <w:pPr>
              <w:pStyle w:val="normal0"/>
              <w:numPr>
                <w:ilvl w:val="0"/>
                <w:numId w:val="6"/>
              </w:numPr>
              <w:ind w:hanging="360"/>
              <w:contextualSpacing/>
              <w:rPr>
                <w:highlight w:val="white"/>
              </w:rPr>
            </w:pPr>
            <w:r>
              <w:rPr>
                <w:highlight w:val="white"/>
              </w:rPr>
              <w:t>Assessment</w:t>
            </w:r>
          </w:p>
          <w:p w:rsidR="00DD68F3" w:rsidRDefault="00DD68F3" w:rsidP="00DD68F3">
            <w:pPr>
              <w:pStyle w:val="normal0"/>
              <w:numPr>
                <w:ilvl w:val="0"/>
                <w:numId w:val="6"/>
              </w:numPr>
              <w:ind w:hanging="360"/>
              <w:contextualSpacing/>
              <w:rPr>
                <w:highlight w:val="white"/>
              </w:rPr>
            </w:pPr>
            <w:r>
              <w:rPr>
                <w:highlight w:val="white"/>
              </w:rPr>
              <w:t xml:space="preserve">Closing </w:t>
            </w:r>
          </w:p>
          <w:p w:rsidR="00DD68F3" w:rsidRDefault="00DD68F3" w:rsidP="00DD68F3">
            <w:pPr>
              <w:pStyle w:val="normal0"/>
              <w:numPr>
                <w:ilvl w:val="0"/>
                <w:numId w:val="6"/>
              </w:numPr>
              <w:ind w:hanging="360"/>
              <w:contextualSpacing/>
              <w:rPr>
                <w:highlight w:val="white"/>
              </w:rPr>
            </w:pPr>
            <w:r>
              <w:rPr>
                <w:highlight w:val="white"/>
              </w:rPr>
              <w:t>Admission-seeking.</w:t>
            </w:r>
          </w:p>
          <w:p w:rsidR="00DD68F3" w:rsidRDefault="00DD68F3" w:rsidP="00DD68F3">
            <w:pPr>
              <w:pStyle w:val="normal0"/>
            </w:pPr>
            <w:r>
              <w:rPr>
                <w:highlight w:val="white"/>
              </w:rPr>
              <w:t>The general rule is open-ended questions are much more effective than closed ended questions where answers are ‘’yes’’ or ‘’no’’ and usually do not produce any written data or statement as support.</w:t>
            </w:r>
          </w:p>
          <w:p w:rsidR="00DD68F3" w:rsidRDefault="00DD68F3" w:rsidP="00DD68F3">
            <w:pPr>
              <w:pStyle w:val="normal0"/>
            </w:pPr>
          </w:p>
          <w:p w:rsidR="00DD68F3" w:rsidRDefault="00DD68F3" w:rsidP="00DD68F3">
            <w:pPr>
              <w:pStyle w:val="normal0"/>
            </w:pPr>
            <w:r>
              <w:rPr>
                <w:highlight w:val="white"/>
              </w:rPr>
              <w:t xml:space="preserve">However, one of the risks associated with interviews during a fraud investigation is that the interviewer might not be trained or experienced in employing best practices for interviews. As such, the interviewer may create ‘’the interviewer bias’’ effect, where the personal characteristics of the interviewer affect the answers produced by the </w:t>
            </w:r>
            <w:proofErr w:type="spellStart"/>
            <w:r>
              <w:rPr>
                <w:highlight w:val="white"/>
              </w:rPr>
              <w:t>interviewee.Furthermore</w:t>
            </w:r>
            <w:proofErr w:type="spellEnd"/>
            <w:r>
              <w:rPr>
                <w:highlight w:val="white"/>
              </w:rPr>
              <w:t xml:space="preserve">, the interviewers may hinder objectivity as they may provide prompts which will affect the answers given by the </w:t>
            </w:r>
            <w:proofErr w:type="spellStart"/>
            <w:r>
              <w:rPr>
                <w:highlight w:val="white"/>
              </w:rPr>
              <w:t>suspect.They</w:t>
            </w:r>
            <w:proofErr w:type="spellEnd"/>
            <w:r>
              <w:rPr>
                <w:highlight w:val="white"/>
              </w:rPr>
              <w:t xml:space="preserve"> may </w:t>
            </w:r>
            <w:proofErr w:type="gramStart"/>
            <w:r>
              <w:rPr>
                <w:highlight w:val="white"/>
              </w:rPr>
              <w:t>also  not</w:t>
            </w:r>
            <w:proofErr w:type="gramEnd"/>
            <w:r>
              <w:rPr>
                <w:highlight w:val="white"/>
              </w:rPr>
              <w:t xml:space="preserve"> be even familiar with the legal protocol of carrying out interviews and in such case, a desirable conclusion may not be reached and can even provoke a counter lawsuit.</w:t>
            </w:r>
          </w:p>
          <w:p w:rsidR="00DD68F3" w:rsidRDefault="00DD68F3" w:rsidP="00DD68F3">
            <w:pPr>
              <w:pStyle w:val="normal0"/>
            </w:pPr>
          </w:p>
          <w:p w:rsidR="00DD68F3" w:rsidRDefault="00DD68F3" w:rsidP="00DD68F3">
            <w:pPr>
              <w:pStyle w:val="normal0"/>
            </w:pPr>
          </w:p>
          <w:p w:rsidR="00DD68F3" w:rsidRDefault="00DD68F3" w:rsidP="00DD68F3">
            <w:pPr>
              <w:pStyle w:val="normal0"/>
            </w:pPr>
            <w:r>
              <w:rPr>
                <w:highlight w:val="white"/>
              </w:rPr>
              <w:t>Question 3</w:t>
            </w:r>
          </w:p>
          <w:p w:rsidR="00DD68F3" w:rsidRDefault="00DD68F3" w:rsidP="00DD68F3">
            <w:pPr>
              <w:pStyle w:val="normal0"/>
            </w:pPr>
          </w:p>
          <w:p w:rsidR="00DD68F3" w:rsidRDefault="00DD68F3" w:rsidP="00DD68F3">
            <w:pPr>
              <w:pStyle w:val="normal0"/>
            </w:pPr>
            <w:r>
              <w:rPr>
                <w:highlight w:val="white"/>
              </w:rPr>
              <w:t>The interviewing procedure for a financially sophisticated victim is explained below:</w:t>
            </w:r>
          </w:p>
          <w:p w:rsidR="00DD68F3" w:rsidRDefault="00DD68F3" w:rsidP="00DD68F3">
            <w:pPr>
              <w:pStyle w:val="normal0"/>
            </w:pPr>
          </w:p>
          <w:p w:rsidR="00DD68F3" w:rsidRDefault="00DD68F3" w:rsidP="00DD68F3">
            <w:pPr>
              <w:pStyle w:val="normal0"/>
            </w:pPr>
            <w:r>
              <w:rPr>
                <w:highlight w:val="white"/>
              </w:rPr>
              <w:t>After meeting with the complainant and the subject, the investigator is usually faced with a “he said/she said” situation. The truth often lies somewhere in between, and other witnesses are integral sources of information to balance the facts. Interviewing witnesses is similar to interviewing the complainant and accused. Consider carefully the purpose of the meeting with each witness and tailor the interview and the questions asked to that purpose.</w:t>
            </w:r>
          </w:p>
          <w:p w:rsidR="00DD68F3" w:rsidRDefault="00DD68F3" w:rsidP="00DD68F3">
            <w:pPr>
              <w:pStyle w:val="normal0"/>
              <w:spacing w:after="160" w:line="342" w:lineRule="auto"/>
            </w:pPr>
            <w:r>
              <w:rPr>
                <w:highlight w:val="white"/>
              </w:rPr>
              <w:t xml:space="preserve">Mandatory questions to ask witnesses: </w:t>
            </w:r>
          </w:p>
          <w:p w:rsidR="00DD68F3" w:rsidRDefault="00DD68F3" w:rsidP="00DD68F3">
            <w:pPr>
              <w:pStyle w:val="normal0"/>
              <w:numPr>
                <w:ilvl w:val="0"/>
                <w:numId w:val="3"/>
              </w:numPr>
              <w:spacing w:after="160" w:line="342" w:lineRule="auto"/>
              <w:ind w:hanging="360"/>
              <w:contextualSpacing/>
            </w:pPr>
            <w:r>
              <w:rPr>
                <w:highlight w:val="white"/>
              </w:rPr>
              <w:t>What did you see or hear?</w:t>
            </w:r>
          </w:p>
          <w:p w:rsidR="00DD68F3" w:rsidRDefault="00DD68F3" w:rsidP="00DD68F3">
            <w:pPr>
              <w:pStyle w:val="normal0"/>
              <w:numPr>
                <w:ilvl w:val="0"/>
                <w:numId w:val="3"/>
              </w:numPr>
              <w:spacing w:after="160" w:line="342" w:lineRule="auto"/>
              <w:ind w:hanging="360"/>
              <w:contextualSpacing/>
            </w:pPr>
            <w:r>
              <w:rPr>
                <w:highlight w:val="white"/>
              </w:rPr>
              <w:t>When did this occur?</w:t>
            </w:r>
          </w:p>
          <w:p w:rsidR="00DD68F3" w:rsidRDefault="00DD68F3" w:rsidP="00DD68F3">
            <w:pPr>
              <w:pStyle w:val="normal0"/>
              <w:numPr>
                <w:ilvl w:val="0"/>
                <w:numId w:val="3"/>
              </w:numPr>
              <w:spacing w:after="160" w:line="342" w:lineRule="auto"/>
              <w:ind w:hanging="360"/>
              <w:contextualSpacing/>
            </w:pPr>
            <w:r>
              <w:rPr>
                <w:highlight w:val="white"/>
              </w:rPr>
              <w:t>Describe the alleged suspect’s behavior toward the complainant and towards others in the workplace.</w:t>
            </w:r>
          </w:p>
          <w:p w:rsidR="00DD68F3" w:rsidRDefault="00DD68F3" w:rsidP="00DD68F3">
            <w:pPr>
              <w:pStyle w:val="normal0"/>
              <w:numPr>
                <w:ilvl w:val="0"/>
                <w:numId w:val="3"/>
              </w:numPr>
              <w:spacing w:after="160" w:line="342" w:lineRule="auto"/>
              <w:ind w:hanging="360"/>
              <w:contextualSpacing/>
            </w:pPr>
            <w:r>
              <w:rPr>
                <w:highlight w:val="white"/>
              </w:rPr>
              <w:t>What did the complainant tell you? When did they tell you this?</w:t>
            </w:r>
          </w:p>
          <w:p w:rsidR="00DD68F3" w:rsidRDefault="00DD68F3" w:rsidP="00DD68F3">
            <w:pPr>
              <w:pStyle w:val="normal0"/>
              <w:numPr>
                <w:ilvl w:val="0"/>
                <w:numId w:val="3"/>
              </w:numPr>
              <w:spacing w:after="160" w:line="342" w:lineRule="auto"/>
              <w:ind w:hanging="360"/>
              <w:contextualSpacing/>
            </w:pPr>
            <w:r>
              <w:rPr>
                <w:highlight w:val="white"/>
              </w:rPr>
              <w:t>Do you know of any other relevant information?</w:t>
            </w:r>
          </w:p>
          <w:p w:rsidR="00DD68F3" w:rsidRDefault="00DD68F3" w:rsidP="00DD68F3">
            <w:pPr>
              <w:pStyle w:val="normal0"/>
              <w:numPr>
                <w:ilvl w:val="0"/>
                <w:numId w:val="3"/>
              </w:numPr>
              <w:spacing w:after="160" w:line="342" w:lineRule="auto"/>
              <w:ind w:hanging="360"/>
              <w:contextualSpacing/>
            </w:pPr>
            <w:r>
              <w:rPr>
                <w:highlight w:val="white"/>
              </w:rPr>
              <w:t>Are there other persons who have relevant information?</w:t>
            </w:r>
          </w:p>
          <w:p w:rsidR="00DD68F3" w:rsidRDefault="00DD68F3" w:rsidP="00DD68F3">
            <w:pPr>
              <w:pStyle w:val="normal0"/>
            </w:pPr>
            <w:r>
              <w:rPr>
                <w:highlight w:val="white"/>
              </w:rPr>
              <w:t xml:space="preserve">A more conversational interviewing style, based on science, which builds trust and rapport, is the way forward, say some psychologists. This philosophy is encapsulated in the PEACE Model of investigative interviewing, developed in the early 90s and used by law enforcement in the UK, Canada, </w:t>
            </w:r>
            <w:proofErr w:type="gramStart"/>
            <w:r>
              <w:rPr>
                <w:highlight w:val="white"/>
              </w:rPr>
              <w:t>Australia</w:t>
            </w:r>
            <w:proofErr w:type="gramEnd"/>
            <w:r>
              <w:rPr>
                <w:highlight w:val="white"/>
              </w:rPr>
              <w:t xml:space="preserve"> since then.</w:t>
            </w:r>
          </w:p>
          <w:p w:rsidR="00DD68F3" w:rsidRDefault="00DD68F3" w:rsidP="00DD68F3">
            <w:pPr>
              <w:pStyle w:val="normal0"/>
            </w:pPr>
          </w:p>
          <w:p w:rsidR="00DD68F3" w:rsidRDefault="00DD68F3" w:rsidP="00DD68F3">
            <w:pPr>
              <w:pStyle w:val="normal0"/>
            </w:pPr>
            <w:r>
              <w:rPr>
                <w:highlight w:val="white"/>
              </w:rPr>
              <w:t>PEACE stands for:</w:t>
            </w:r>
          </w:p>
          <w:p w:rsidR="00DD68F3" w:rsidRDefault="00DD68F3" w:rsidP="00DD68F3">
            <w:pPr>
              <w:pStyle w:val="normal0"/>
            </w:pPr>
          </w:p>
          <w:p w:rsidR="00DD68F3" w:rsidRDefault="00DD68F3" w:rsidP="00DD68F3">
            <w:pPr>
              <w:pStyle w:val="normal0"/>
              <w:numPr>
                <w:ilvl w:val="0"/>
                <w:numId w:val="7"/>
              </w:numPr>
              <w:spacing w:after="160" w:line="342" w:lineRule="auto"/>
              <w:ind w:hanging="360"/>
              <w:contextualSpacing/>
            </w:pPr>
            <w:r>
              <w:rPr>
                <w:highlight w:val="white"/>
              </w:rPr>
              <w:t>Planning and preparation</w:t>
            </w:r>
          </w:p>
          <w:p w:rsidR="00DD68F3" w:rsidRDefault="00DD68F3" w:rsidP="00DD68F3">
            <w:pPr>
              <w:pStyle w:val="normal0"/>
              <w:numPr>
                <w:ilvl w:val="0"/>
                <w:numId w:val="7"/>
              </w:numPr>
              <w:spacing w:after="160" w:line="342" w:lineRule="auto"/>
              <w:ind w:hanging="360"/>
              <w:contextualSpacing/>
            </w:pPr>
            <w:r>
              <w:rPr>
                <w:highlight w:val="white"/>
              </w:rPr>
              <w:t>Engage and explain</w:t>
            </w:r>
          </w:p>
          <w:p w:rsidR="00DD68F3" w:rsidRDefault="00DD68F3" w:rsidP="00DD68F3">
            <w:pPr>
              <w:pStyle w:val="normal0"/>
              <w:numPr>
                <w:ilvl w:val="0"/>
                <w:numId w:val="7"/>
              </w:numPr>
              <w:spacing w:after="160" w:line="342" w:lineRule="auto"/>
              <w:ind w:hanging="360"/>
              <w:contextualSpacing/>
            </w:pPr>
            <w:r>
              <w:rPr>
                <w:highlight w:val="white"/>
              </w:rPr>
              <w:t>Account, clarification and challenge</w:t>
            </w:r>
          </w:p>
          <w:p w:rsidR="00DD68F3" w:rsidRDefault="00DD68F3" w:rsidP="00DD68F3">
            <w:pPr>
              <w:pStyle w:val="normal0"/>
              <w:numPr>
                <w:ilvl w:val="0"/>
                <w:numId w:val="7"/>
              </w:numPr>
              <w:spacing w:after="160" w:line="342" w:lineRule="auto"/>
              <w:ind w:hanging="360"/>
              <w:contextualSpacing/>
            </w:pPr>
            <w:r>
              <w:rPr>
                <w:highlight w:val="white"/>
              </w:rPr>
              <w:t>Closure</w:t>
            </w:r>
          </w:p>
          <w:p w:rsidR="00DD68F3" w:rsidRDefault="00DD68F3" w:rsidP="00DD68F3">
            <w:pPr>
              <w:pStyle w:val="normal0"/>
              <w:numPr>
                <w:ilvl w:val="0"/>
                <w:numId w:val="7"/>
              </w:numPr>
              <w:spacing w:after="160" w:line="342" w:lineRule="auto"/>
              <w:ind w:hanging="360"/>
              <w:contextualSpacing/>
            </w:pPr>
            <w:r>
              <w:rPr>
                <w:highlight w:val="white"/>
              </w:rPr>
              <w:t>Evaluate</w:t>
            </w:r>
          </w:p>
          <w:p w:rsidR="00DD68F3" w:rsidRDefault="00DD68F3" w:rsidP="00DD68F3">
            <w:pPr>
              <w:pStyle w:val="normal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68F3" w:rsidP="00A851DA">
            <w:pPr>
              <w:rPr>
                <w:rFonts w:cs="Bliss-Regular"/>
                <w:color w:val="000000"/>
              </w:rPr>
            </w:pPr>
            <w:proofErr w:type="spellStart"/>
            <w:r>
              <w:rPr>
                <w:rFonts w:cs="Bliss-Regular"/>
                <w:color w:val="000000"/>
              </w:rPr>
              <w:t>Balmick</w:t>
            </w:r>
            <w:proofErr w:type="spellEnd"/>
            <w:r>
              <w:rPr>
                <w:rFonts w:cs="Bliss-Regular"/>
                <w:color w:val="000000"/>
              </w:rPr>
              <w:t xml:space="preserve"> </w:t>
            </w:r>
            <w:proofErr w:type="spellStart"/>
            <w:r>
              <w:rPr>
                <w:rFonts w:cs="Bliss-Regular"/>
                <w:color w:val="000000"/>
              </w:rPr>
              <w:t>Dussoye</w:t>
            </w:r>
            <w:proofErr w:type="spellEnd"/>
          </w:p>
        </w:tc>
        <w:tc>
          <w:tcPr>
            <w:tcW w:w="1276" w:type="dxa"/>
            <w:shd w:val="clear" w:color="auto" w:fill="D9D9D9" w:themeFill="background1" w:themeFillShade="D9"/>
          </w:tcPr>
          <w:p w:rsidR="00405895" w:rsidRPr="00B0415E" w:rsidRDefault="00DD68F3" w:rsidP="00A851DA">
            <w:pPr>
              <w:rPr>
                <w:rFonts w:cs="Bliss-Regular"/>
                <w:color w:val="000000"/>
              </w:rPr>
            </w:pPr>
            <w:r>
              <w:rPr>
                <w:rFonts w:cs="Bliss-Regular"/>
                <w:color w:val="000000"/>
              </w:rPr>
              <w:t>30.07.16</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6E1" w:rsidRDefault="00CA46E1" w:rsidP="00CB4D0A">
      <w:pPr>
        <w:spacing w:after="0" w:line="240" w:lineRule="auto"/>
      </w:pPr>
      <w:r>
        <w:separator/>
      </w:r>
    </w:p>
  </w:endnote>
  <w:endnote w:type="continuationSeparator" w:id="0">
    <w:p w:rsidR="00CA46E1" w:rsidRDefault="00CA46E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6E1" w:rsidRDefault="00CA46E1" w:rsidP="00CB4D0A">
      <w:pPr>
        <w:spacing w:after="0" w:line="240" w:lineRule="auto"/>
      </w:pPr>
      <w:r>
        <w:separator/>
      </w:r>
    </w:p>
  </w:footnote>
  <w:footnote w:type="continuationSeparator" w:id="0">
    <w:p w:rsidR="00CA46E1" w:rsidRDefault="00CA46E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469E3"/>
    <w:multiLevelType w:val="multilevel"/>
    <w:tmpl w:val="54BADE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285745FE"/>
    <w:multiLevelType w:val="multilevel"/>
    <w:tmpl w:val="C1989A2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338657C5"/>
    <w:multiLevelType w:val="multilevel"/>
    <w:tmpl w:val="C06EEE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3B71192D"/>
    <w:multiLevelType w:val="multilevel"/>
    <w:tmpl w:val="0BC253C4"/>
    <w:lvl w:ilvl="0">
      <w:start w:val="1"/>
      <w:numFmt w:val="bullet"/>
      <w:lvlText w:val="●"/>
      <w:lvlJc w:val="left"/>
      <w:pPr>
        <w:ind w:left="720" w:firstLine="360"/>
      </w:pPr>
      <w:rPr>
        <w:rFonts w:ascii="Arial" w:eastAsia="Arial" w:hAnsi="Arial" w:cs="Arial"/>
        <w:color w:val="4C4C4C"/>
        <w:sz w:val="21"/>
        <w:szCs w:val="21"/>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4F1135"/>
    <w:multiLevelType w:val="multilevel"/>
    <w:tmpl w:val="AEC2B89C"/>
    <w:lvl w:ilvl="0">
      <w:start w:val="1"/>
      <w:numFmt w:val="bullet"/>
      <w:lvlText w:val="●"/>
      <w:lvlJc w:val="left"/>
      <w:pPr>
        <w:ind w:left="720" w:firstLine="360"/>
      </w:pPr>
      <w:rPr>
        <w:rFonts w:ascii="Arial" w:eastAsia="Arial" w:hAnsi="Arial" w:cs="Arial"/>
        <w:color w:val="4C4C4C"/>
        <w:sz w:val="21"/>
        <w:szCs w:val="21"/>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7B245F4D"/>
    <w:multiLevelType w:val="multilevel"/>
    <w:tmpl w:val="99A2709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4"/>
  </w:num>
  <w:num w:numId="2">
    <w:abstractNumId w:val="0"/>
  </w:num>
  <w:num w:numId="3">
    <w:abstractNumId w:val="3"/>
  </w:num>
  <w:num w:numId="4">
    <w:abstractNumId w:val="6"/>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B015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46E1"/>
    <w:rsid w:val="00CB4D0A"/>
    <w:rsid w:val="00CC2FB3"/>
    <w:rsid w:val="00CC575A"/>
    <w:rsid w:val="00CF123B"/>
    <w:rsid w:val="00D039AC"/>
    <w:rsid w:val="00D427DE"/>
    <w:rsid w:val="00D5587D"/>
    <w:rsid w:val="00D707CC"/>
    <w:rsid w:val="00D821FE"/>
    <w:rsid w:val="00DB0793"/>
    <w:rsid w:val="00DD68F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DD68F3"/>
    <w:pPr>
      <w:spacing w:after="0"/>
    </w:pPr>
    <w:rPr>
      <w:rFonts w:ascii="Arial" w:eastAsia="Arial" w:hAnsi="Arial" w:cs="Arial"/>
      <w:color w:val="000000"/>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DE901-61C7-4450-B5CE-1E945426E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Dikshika Dussoye</cp:lastModifiedBy>
  <cp:revision>2</cp:revision>
  <dcterms:created xsi:type="dcterms:W3CDTF">2016-07-30T10:32:00Z</dcterms:created>
  <dcterms:modified xsi:type="dcterms:W3CDTF">2016-07-30T10:32:00Z</dcterms:modified>
</cp:coreProperties>
</file>