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FD7000">
        <w:rPr>
          <w:rFonts w:asciiTheme="minorHAnsi" w:hAnsiTheme="minorHAnsi"/>
        </w:rPr>
        <w:t>R</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D33D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7000">
            <w:pPr>
              <w:pStyle w:val="Default"/>
              <w:rPr>
                <w:rFonts w:asciiTheme="minorHAnsi" w:hAnsiTheme="minorHAnsi"/>
              </w:rPr>
            </w:pPr>
            <w:r>
              <w:rPr>
                <w:rFonts w:asciiTheme="minorHAnsi" w:hAnsiTheme="minorHAnsi"/>
              </w:rPr>
              <w:t>Ryan Leavesley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D7000">
            <w:pPr>
              <w:pStyle w:val="Default"/>
              <w:rPr>
                <w:rFonts w:asciiTheme="minorHAnsi" w:hAnsiTheme="minorHAnsi"/>
              </w:rPr>
            </w:pPr>
            <w:r>
              <w:rPr>
                <w:rFonts w:asciiTheme="minorHAnsi" w:hAnsiTheme="minorHAnsi"/>
              </w:rPr>
              <w:t>3478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7000">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7000">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D7000"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FD7000" w:rsidRPr="00CC2FB3" w:rsidRDefault="00FD7000" w:rsidP="00A851DA">
            <w:pPr>
              <w:rPr>
                <w:rFonts w:ascii="Arial" w:hAnsi="Arial" w:cs="Arial"/>
                <w:sz w:val="24"/>
                <w:szCs w:val="24"/>
              </w:rPr>
            </w:pPr>
          </w:p>
          <w:p w:rsidR="00FD7000" w:rsidRDefault="00FD7000" w:rsidP="00FD7000">
            <w:pPr>
              <w:pStyle w:val="ListParagraph"/>
              <w:numPr>
                <w:ilvl w:val="0"/>
                <w:numId w:val="2"/>
              </w:numPr>
              <w:spacing w:after="160" w:line="256" w:lineRule="auto"/>
              <w:rPr>
                <w:rFonts w:ascii="Arial" w:hAnsi="Arial" w:cs="Arial"/>
                <w:sz w:val="24"/>
                <w:szCs w:val="24"/>
              </w:rPr>
            </w:pPr>
            <w:r>
              <w:rPr>
                <w:rFonts w:ascii="Arial" w:hAnsi="Arial" w:cs="Arial"/>
                <w:sz w:val="24"/>
                <w:szCs w:val="24"/>
              </w:rPr>
              <w:t xml:space="preserve">i. The causes of cost and time over runs are generally inaccuracy of cost estimates, designs that are unrealistic, planning delays and any changes in the scope of supply to a project. </w:t>
            </w:r>
          </w:p>
          <w:p w:rsidR="00FD7000" w:rsidRDefault="00FD7000" w:rsidP="00FD7000">
            <w:pPr>
              <w:ind w:left="360"/>
              <w:rPr>
                <w:rFonts w:ascii="Arial" w:hAnsi="Arial" w:cs="Arial"/>
                <w:sz w:val="24"/>
                <w:szCs w:val="24"/>
              </w:rPr>
            </w:pPr>
            <w:r>
              <w:rPr>
                <w:rFonts w:ascii="Arial" w:hAnsi="Arial" w:cs="Arial"/>
                <w:sz w:val="24"/>
                <w:szCs w:val="24"/>
              </w:rPr>
              <w:t>ii. The main resources of project finance are:</w:t>
            </w:r>
          </w:p>
          <w:p w:rsidR="00FD7000" w:rsidRDefault="00FD7000" w:rsidP="00FD7000">
            <w:pPr>
              <w:pStyle w:val="ListParagraph"/>
              <w:numPr>
                <w:ilvl w:val="0"/>
                <w:numId w:val="3"/>
              </w:numPr>
              <w:spacing w:after="160" w:line="256" w:lineRule="auto"/>
              <w:rPr>
                <w:rFonts w:ascii="Arial" w:hAnsi="Arial" w:cs="Arial"/>
                <w:sz w:val="24"/>
                <w:szCs w:val="24"/>
              </w:rPr>
            </w:pPr>
            <w:r>
              <w:rPr>
                <w:rFonts w:ascii="Arial" w:hAnsi="Arial" w:cs="Arial"/>
                <w:sz w:val="24"/>
                <w:szCs w:val="24"/>
              </w:rPr>
              <w:t>Commercial banks</w:t>
            </w:r>
          </w:p>
          <w:p w:rsidR="00FD7000" w:rsidRDefault="00FD7000" w:rsidP="00FD7000">
            <w:pPr>
              <w:pStyle w:val="ListParagraph"/>
              <w:numPr>
                <w:ilvl w:val="0"/>
                <w:numId w:val="3"/>
              </w:numPr>
              <w:spacing w:after="160" w:line="256" w:lineRule="auto"/>
              <w:rPr>
                <w:rFonts w:ascii="Arial" w:hAnsi="Arial" w:cs="Arial"/>
                <w:sz w:val="24"/>
                <w:szCs w:val="24"/>
              </w:rPr>
            </w:pPr>
            <w:r>
              <w:rPr>
                <w:rFonts w:ascii="Arial" w:hAnsi="Arial" w:cs="Arial"/>
                <w:sz w:val="24"/>
                <w:szCs w:val="24"/>
              </w:rPr>
              <w:t>Public banks</w:t>
            </w:r>
          </w:p>
          <w:p w:rsidR="00FD7000" w:rsidRDefault="00FD7000" w:rsidP="00FD7000">
            <w:pPr>
              <w:pStyle w:val="ListParagraph"/>
              <w:numPr>
                <w:ilvl w:val="0"/>
                <w:numId w:val="3"/>
              </w:numPr>
              <w:spacing w:after="160" w:line="256" w:lineRule="auto"/>
              <w:rPr>
                <w:rFonts w:ascii="Arial" w:hAnsi="Arial" w:cs="Arial"/>
                <w:sz w:val="24"/>
                <w:szCs w:val="24"/>
              </w:rPr>
            </w:pPr>
            <w:r>
              <w:rPr>
                <w:rFonts w:ascii="Arial" w:hAnsi="Arial" w:cs="Arial"/>
                <w:sz w:val="24"/>
                <w:szCs w:val="24"/>
              </w:rPr>
              <w:t>Suppliers credit</w:t>
            </w:r>
          </w:p>
          <w:p w:rsidR="00FD7000" w:rsidRDefault="00FD7000" w:rsidP="00FD7000">
            <w:pPr>
              <w:pStyle w:val="ListParagraph"/>
              <w:numPr>
                <w:ilvl w:val="0"/>
                <w:numId w:val="3"/>
              </w:numPr>
              <w:spacing w:after="160" w:line="256" w:lineRule="auto"/>
              <w:rPr>
                <w:rFonts w:ascii="Arial" w:hAnsi="Arial" w:cs="Arial"/>
                <w:sz w:val="24"/>
                <w:szCs w:val="24"/>
              </w:rPr>
            </w:pPr>
            <w:r>
              <w:rPr>
                <w:rFonts w:ascii="Arial" w:hAnsi="Arial" w:cs="Arial"/>
                <w:sz w:val="24"/>
                <w:szCs w:val="24"/>
              </w:rPr>
              <w:t>Debenture or bonds</w:t>
            </w:r>
          </w:p>
          <w:p w:rsidR="00FD7000" w:rsidRDefault="00FD7000" w:rsidP="00FD7000">
            <w:pPr>
              <w:rPr>
                <w:rFonts w:ascii="Arial" w:hAnsi="Arial" w:cs="Arial"/>
                <w:sz w:val="24"/>
                <w:szCs w:val="24"/>
              </w:rPr>
            </w:pPr>
            <w:r>
              <w:rPr>
                <w:rFonts w:ascii="Arial" w:hAnsi="Arial" w:cs="Arial"/>
                <w:sz w:val="24"/>
                <w:szCs w:val="24"/>
              </w:rPr>
              <w:t xml:space="preserve">      iii. The control phase is made up of the following processes:</w:t>
            </w:r>
          </w:p>
          <w:p w:rsidR="00FD7000" w:rsidRDefault="00FD7000" w:rsidP="00FD7000">
            <w:pPr>
              <w:pStyle w:val="ListParagraph"/>
              <w:numPr>
                <w:ilvl w:val="0"/>
                <w:numId w:val="4"/>
              </w:numPr>
              <w:spacing w:after="160" w:line="256" w:lineRule="auto"/>
              <w:rPr>
                <w:rFonts w:ascii="Arial" w:hAnsi="Arial" w:cs="Arial"/>
                <w:sz w:val="24"/>
                <w:szCs w:val="24"/>
              </w:rPr>
            </w:pPr>
            <w:r>
              <w:rPr>
                <w:rFonts w:ascii="Arial" w:hAnsi="Arial" w:cs="Arial"/>
                <w:sz w:val="24"/>
                <w:szCs w:val="24"/>
              </w:rPr>
              <w:t>The overall scope change control</w:t>
            </w:r>
          </w:p>
          <w:p w:rsidR="00FD7000" w:rsidRDefault="00FD7000" w:rsidP="00FD7000">
            <w:pPr>
              <w:pStyle w:val="ListParagraph"/>
              <w:numPr>
                <w:ilvl w:val="0"/>
                <w:numId w:val="4"/>
              </w:numPr>
              <w:spacing w:after="160" w:line="256" w:lineRule="auto"/>
              <w:rPr>
                <w:rFonts w:ascii="Arial" w:hAnsi="Arial" w:cs="Arial"/>
                <w:sz w:val="24"/>
                <w:szCs w:val="24"/>
              </w:rPr>
            </w:pPr>
            <w:r>
              <w:rPr>
                <w:rFonts w:ascii="Arial" w:hAnsi="Arial" w:cs="Arial"/>
                <w:sz w:val="24"/>
                <w:szCs w:val="24"/>
              </w:rPr>
              <w:t>Resources control</w:t>
            </w:r>
          </w:p>
          <w:p w:rsidR="00FD7000" w:rsidRDefault="00FD7000" w:rsidP="00FD7000">
            <w:pPr>
              <w:pStyle w:val="ListParagraph"/>
              <w:numPr>
                <w:ilvl w:val="0"/>
                <w:numId w:val="4"/>
              </w:numPr>
              <w:spacing w:after="160" w:line="256" w:lineRule="auto"/>
              <w:rPr>
                <w:rFonts w:ascii="Arial" w:hAnsi="Arial" w:cs="Arial"/>
                <w:sz w:val="24"/>
                <w:szCs w:val="24"/>
              </w:rPr>
            </w:pPr>
            <w:r>
              <w:rPr>
                <w:rFonts w:ascii="Arial" w:hAnsi="Arial" w:cs="Arial"/>
                <w:sz w:val="24"/>
                <w:szCs w:val="24"/>
              </w:rPr>
              <w:t>Schedule control</w:t>
            </w:r>
          </w:p>
          <w:p w:rsidR="00FD7000" w:rsidRDefault="00FD7000" w:rsidP="00FD7000">
            <w:pPr>
              <w:pStyle w:val="ListParagraph"/>
              <w:numPr>
                <w:ilvl w:val="0"/>
                <w:numId w:val="4"/>
              </w:numPr>
              <w:spacing w:after="160" w:line="256" w:lineRule="auto"/>
              <w:rPr>
                <w:rFonts w:ascii="Arial" w:hAnsi="Arial" w:cs="Arial"/>
                <w:sz w:val="24"/>
                <w:szCs w:val="24"/>
              </w:rPr>
            </w:pPr>
            <w:r>
              <w:rPr>
                <w:rFonts w:ascii="Arial" w:hAnsi="Arial" w:cs="Arial"/>
                <w:sz w:val="24"/>
                <w:szCs w:val="24"/>
              </w:rPr>
              <w:t>Cost control</w:t>
            </w:r>
          </w:p>
          <w:p w:rsidR="00FD7000" w:rsidRDefault="00FD7000" w:rsidP="00FD7000">
            <w:pPr>
              <w:pStyle w:val="ListParagraph"/>
              <w:numPr>
                <w:ilvl w:val="0"/>
                <w:numId w:val="4"/>
              </w:numPr>
              <w:spacing w:after="160" w:line="256" w:lineRule="auto"/>
              <w:rPr>
                <w:rFonts w:ascii="Arial" w:hAnsi="Arial" w:cs="Arial"/>
                <w:sz w:val="24"/>
                <w:szCs w:val="24"/>
              </w:rPr>
            </w:pPr>
            <w:r>
              <w:rPr>
                <w:rFonts w:ascii="Arial" w:hAnsi="Arial" w:cs="Arial"/>
                <w:sz w:val="24"/>
                <w:szCs w:val="24"/>
              </w:rPr>
              <w:t>Quality control</w:t>
            </w:r>
          </w:p>
          <w:p w:rsidR="00FD7000" w:rsidRDefault="00FD7000" w:rsidP="00FD7000">
            <w:pPr>
              <w:pStyle w:val="ListParagraph"/>
              <w:numPr>
                <w:ilvl w:val="0"/>
                <w:numId w:val="4"/>
              </w:numPr>
              <w:spacing w:after="160" w:line="256" w:lineRule="auto"/>
              <w:rPr>
                <w:rFonts w:ascii="Arial" w:hAnsi="Arial" w:cs="Arial"/>
                <w:sz w:val="24"/>
                <w:szCs w:val="24"/>
              </w:rPr>
            </w:pPr>
            <w:r>
              <w:rPr>
                <w:rFonts w:ascii="Arial" w:hAnsi="Arial" w:cs="Arial"/>
                <w:sz w:val="24"/>
                <w:szCs w:val="24"/>
              </w:rPr>
              <w:t>Risk response</w:t>
            </w:r>
          </w:p>
          <w:p w:rsidR="00FD7000" w:rsidRDefault="00FD7000" w:rsidP="00FD7000">
            <w:pPr>
              <w:pStyle w:val="ListParagraph"/>
              <w:numPr>
                <w:ilvl w:val="0"/>
                <w:numId w:val="4"/>
              </w:numPr>
              <w:spacing w:after="160" w:line="256" w:lineRule="auto"/>
              <w:rPr>
                <w:rFonts w:ascii="Arial" w:hAnsi="Arial" w:cs="Arial"/>
                <w:sz w:val="24"/>
                <w:szCs w:val="24"/>
              </w:rPr>
            </w:pPr>
            <w:r>
              <w:rPr>
                <w:rFonts w:ascii="Arial" w:hAnsi="Arial" w:cs="Arial"/>
                <w:sz w:val="24"/>
                <w:szCs w:val="24"/>
              </w:rPr>
              <w:t>Performance reporting</w:t>
            </w:r>
          </w:p>
          <w:p w:rsidR="00FD7000" w:rsidRDefault="00FD7000" w:rsidP="00FD7000">
            <w:pPr>
              <w:pStyle w:val="ListParagraph"/>
              <w:numPr>
                <w:ilvl w:val="0"/>
                <w:numId w:val="4"/>
              </w:numPr>
              <w:spacing w:after="160" w:line="256" w:lineRule="auto"/>
              <w:rPr>
                <w:rFonts w:ascii="Arial" w:hAnsi="Arial" w:cs="Arial"/>
                <w:sz w:val="24"/>
                <w:szCs w:val="24"/>
              </w:rPr>
            </w:pPr>
            <w:r>
              <w:rPr>
                <w:rFonts w:ascii="Arial" w:hAnsi="Arial" w:cs="Arial"/>
                <w:sz w:val="24"/>
                <w:szCs w:val="24"/>
              </w:rPr>
              <w:t xml:space="preserve">Contracting administration </w:t>
            </w:r>
          </w:p>
          <w:p w:rsidR="00FD7000" w:rsidRDefault="00FD7000" w:rsidP="00FD7000">
            <w:pPr>
              <w:ind w:left="360"/>
              <w:rPr>
                <w:rFonts w:ascii="Arial" w:hAnsi="Arial" w:cs="Arial"/>
                <w:sz w:val="24"/>
                <w:szCs w:val="24"/>
              </w:rPr>
            </w:pPr>
            <w:r>
              <w:rPr>
                <w:rFonts w:ascii="Arial" w:hAnsi="Arial" w:cs="Arial"/>
                <w:sz w:val="24"/>
                <w:szCs w:val="24"/>
              </w:rPr>
              <w:t>iv. The tasks that are completed within the project close-up phase are any administration, contracts close out and lesson that have been learnt.</w:t>
            </w:r>
          </w:p>
          <w:p w:rsidR="00FD7000" w:rsidRDefault="00FD7000" w:rsidP="00FD7000">
            <w:pPr>
              <w:ind w:left="360"/>
              <w:rPr>
                <w:rFonts w:ascii="Arial" w:hAnsi="Arial" w:cs="Arial"/>
                <w:sz w:val="24"/>
                <w:szCs w:val="24"/>
              </w:rPr>
            </w:pPr>
          </w:p>
          <w:p w:rsidR="00FD7000" w:rsidRDefault="00FD7000" w:rsidP="00FD7000">
            <w:pPr>
              <w:ind w:left="360"/>
              <w:rPr>
                <w:rFonts w:ascii="Arial" w:hAnsi="Arial" w:cs="Arial"/>
                <w:sz w:val="24"/>
                <w:szCs w:val="24"/>
              </w:rPr>
            </w:pPr>
          </w:p>
          <w:p w:rsidR="00FD7000" w:rsidRDefault="00FD7000" w:rsidP="00FD7000">
            <w:pPr>
              <w:ind w:left="360"/>
              <w:rPr>
                <w:rFonts w:ascii="Arial" w:hAnsi="Arial" w:cs="Arial"/>
                <w:sz w:val="24"/>
                <w:szCs w:val="24"/>
              </w:rPr>
            </w:pPr>
          </w:p>
          <w:p w:rsidR="00FD7000" w:rsidRDefault="00FD7000" w:rsidP="00FD7000">
            <w:pPr>
              <w:ind w:left="360"/>
              <w:rPr>
                <w:rFonts w:ascii="Arial" w:hAnsi="Arial" w:cs="Arial"/>
                <w:sz w:val="24"/>
                <w:szCs w:val="24"/>
              </w:rPr>
            </w:pPr>
          </w:p>
          <w:p w:rsidR="00FD7000" w:rsidRDefault="00FD7000" w:rsidP="00FD7000">
            <w:pPr>
              <w:ind w:left="360"/>
              <w:rPr>
                <w:rFonts w:ascii="Arial" w:hAnsi="Arial" w:cs="Arial"/>
                <w:sz w:val="24"/>
                <w:szCs w:val="24"/>
              </w:rPr>
            </w:pPr>
            <w:bookmarkStart w:id="0" w:name="_GoBack"/>
            <w:bookmarkEnd w:id="0"/>
            <w:r>
              <w:rPr>
                <w:rFonts w:ascii="Arial" w:hAnsi="Arial" w:cs="Arial"/>
                <w:sz w:val="24"/>
                <w:szCs w:val="24"/>
              </w:rPr>
              <w:t>v. A feasibility study is where ideas of what materials are needed and a cost estimate is produced in order to complete a project realistically. The areas that is covers are market, technical, financial, economical and ecological analysis.</w:t>
            </w:r>
          </w:p>
          <w:p w:rsidR="00FD7000" w:rsidRDefault="00FD7000" w:rsidP="00FD7000">
            <w:pPr>
              <w:ind w:left="360"/>
              <w:rPr>
                <w:rFonts w:ascii="Arial" w:hAnsi="Arial" w:cs="Arial"/>
                <w:sz w:val="24"/>
                <w:szCs w:val="24"/>
              </w:rPr>
            </w:pPr>
            <w:r>
              <w:rPr>
                <w:rFonts w:ascii="Arial" w:hAnsi="Arial" w:cs="Arial"/>
                <w:sz w:val="24"/>
                <w:szCs w:val="24"/>
              </w:rPr>
              <w:t xml:space="preserve">vi. A project completion report includes general project information, how effective management has been, all lessons learnt, administrative and contract closure, information about the distribution and archive of the project </w:t>
            </w:r>
          </w:p>
          <w:p w:rsidR="00FD7000" w:rsidRDefault="00FD7000" w:rsidP="00FD7000">
            <w:pPr>
              <w:rPr>
                <w:rFonts w:ascii="Arial" w:hAnsi="Arial" w:cs="Arial"/>
                <w:sz w:val="24"/>
                <w:szCs w:val="24"/>
              </w:rPr>
            </w:pPr>
          </w:p>
          <w:p w:rsidR="00FD7000" w:rsidRDefault="00FD7000" w:rsidP="00FD7000">
            <w:pPr>
              <w:pStyle w:val="ListParagraph"/>
              <w:numPr>
                <w:ilvl w:val="0"/>
                <w:numId w:val="2"/>
              </w:numPr>
              <w:spacing w:after="160" w:line="256" w:lineRule="auto"/>
              <w:rPr>
                <w:rFonts w:ascii="Arial" w:hAnsi="Arial" w:cs="Arial"/>
                <w:sz w:val="24"/>
                <w:szCs w:val="24"/>
              </w:rPr>
            </w:pPr>
            <w:r>
              <w:rPr>
                <w:rFonts w:ascii="Arial" w:hAnsi="Arial" w:cs="Arial"/>
                <w:sz w:val="24"/>
                <w:szCs w:val="24"/>
              </w:rPr>
              <w:t xml:space="preserve">A project is a idea or plan involving tasks which have to be completed over a certain period of time and within a particular cost limit. There are different processes that are carried out within a construction project, firstly is the planning process where ideas and plan scope begin to take shape of what the project will entail. Secondly is the designing process involving drawing up the plans and specifications, this helps towards the cost estimation and the amount of labour that will be required. Within the designing process are branch processes which are schematic, design development and drawing specifications. Lastly is the project procurement process which is a vital process as it involves gathering all the materials, goods and services required to complete the project.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33DA" w:rsidRDefault="001D33DA" w:rsidP="00CB4D0A">
      <w:pPr>
        <w:spacing w:after="0" w:line="240" w:lineRule="auto"/>
      </w:pPr>
      <w:r>
        <w:separator/>
      </w:r>
    </w:p>
  </w:endnote>
  <w:endnote w:type="continuationSeparator" w:id="0">
    <w:p w:rsidR="001D33DA" w:rsidRDefault="001D33D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33DA" w:rsidRDefault="001D33DA" w:rsidP="00CB4D0A">
      <w:pPr>
        <w:spacing w:after="0" w:line="240" w:lineRule="auto"/>
      </w:pPr>
      <w:r>
        <w:separator/>
      </w:r>
    </w:p>
  </w:footnote>
  <w:footnote w:type="continuationSeparator" w:id="0">
    <w:p w:rsidR="001D33DA" w:rsidRDefault="001D33D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22489"/>
    <w:multiLevelType w:val="hybridMultilevel"/>
    <w:tmpl w:val="AB42A480"/>
    <w:lvl w:ilvl="0" w:tplc="08090001">
      <w:start w:val="1"/>
      <w:numFmt w:val="bullet"/>
      <w:lvlText w:val=""/>
      <w:lvlJc w:val="left"/>
      <w:pPr>
        <w:ind w:left="1088" w:hanging="360"/>
      </w:pPr>
      <w:rPr>
        <w:rFonts w:ascii="Symbol" w:hAnsi="Symbol" w:hint="default"/>
      </w:rPr>
    </w:lvl>
    <w:lvl w:ilvl="1" w:tplc="08090003">
      <w:start w:val="1"/>
      <w:numFmt w:val="bullet"/>
      <w:lvlText w:val="o"/>
      <w:lvlJc w:val="left"/>
      <w:pPr>
        <w:ind w:left="1808" w:hanging="360"/>
      </w:pPr>
      <w:rPr>
        <w:rFonts w:ascii="Courier New" w:hAnsi="Courier New" w:cs="Courier New" w:hint="default"/>
      </w:rPr>
    </w:lvl>
    <w:lvl w:ilvl="2" w:tplc="08090005">
      <w:start w:val="1"/>
      <w:numFmt w:val="bullet"/>
      <w:lvlText w:val=""/>
      <w:lvlJc w:val="left"/>
      <w:pPr>
        <w:ind w:left="2528" w:hanging="360"/>
      </w:pPr>
      <w:rPr>
        <w:rFonts w:ascii="Wingdings" w:hAnsi="Wingdings" w:hint="default"/>
      </w:rPr>
    </w:lvl>
    <w:lvl w:ilvl="3" w:tplc="08090001">
      <w:start w:val="1"/>
      <w:numFmt w:val="bullet"/>
      <w:lvlText w:val=""/>
      <w:lvlJc w:val="left"/>
      <w:pPr>
        <w:ind w:left="3248" w:hanging="360"/>
      </w:pPr>
      <w:rPr>
        <w:rFonts w:ascii="Symbol" w:hAnsi="Symbol" w:hint="default"/>
      </w:rPr>
    </w:lvl>
    <w:lvl w:ilvl="4" w:tplc="08090003">
      <w:start w:val="1"/>
      <w:numFmt w:val="bullet"/>
      <w:lvlText w:val="o"/>
      <w:lvlJc w:val="left"/>
      <w:pPr>
        <w:ind w:left="3968" w:hanging="360"/>
      </w:pPr>
      <w:rPr>
        <w:rFonts w:ascii="Courier New" w:hAnsi="Courier New" w:cs="Courier New" w:hint="default"/>
      </w:rPr>
    </w:lvl>
    <w:lvl w:ilvl="5" w:tplc="08090005">
      <w:start w:val="1"/>
      <w:numFmt w:val="bullet"/>
      <w:lvlText w:val=""/>
      <w:lvlJc w:val="left"/>
      <w:pPr>
        <w:ind w:left="4688" w:hanging="360"/>
      </w:pPr>
      <w:rPr>
        <w:rFonts w:ascii="Wingdings" w:hAnsi="Wingdings" w:hint="default"/>
      </w:rPr>
    </w:lvl>
    <w:lvl w:ilvl="6" w:tplc="08090001">
      <w:start w:val="1"/>
      <w:numFmt w:val="bullet"/>
      <w:lvlText w:val=""/>
      <w:lvlJc w:val="left"/>
      <w:pPr>
        <w:ind w:left="5408" w:hanging="360"/>
      </w:pPr>
      <w:rPr>
        <w:rFonts w:ascii="Symbol" w:hAnsi="Symbol" w:hint="default"/>
      </w:rPr>
    </w:lvl>
    <w:lvl w:ilvl="7" w:tplc="08090003">
      <w:start w:val="1"/>
      <w:numFmt w:val="bullet"/>
      <w:lvlText w:val="o"/>
      <w:lvlJc w:val="left"/>
      <w:pPr>
        <w:ind w:left="6128" w:hanging="360"/>
      </w:pPr>
      <w:rPr>
        <w:rFonts w:ascii="Courier New" w:hAnsi="Courier New" w:cs="Courier New" w:hint="default"/>
      </w:rPr>
    </w:lvl>
    <w:lvl w:ilvl="8" w:tplc="08090005">
      <w:start w:val="1"/>
      <w:numFmt w:val="bullet"/>
      <w:lvlText w:val=""/>
      <w:lvlJc w:val="left"/>
      <w:pPr>
        <w:ind w:left="6848"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9D76E9"/>
    <w:multiLevelType w:val="hybridMultilevel"/>
    <w:tmpl w:val="29EE127C"/>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636F6DCF"/>
    <w:multiLevelType w:val="hybridMultilevel"/>
    <w:tmpl w:val="C5CCDA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lvlOverride w:ilvl="2"/>
    <w:lvlOverride w:ilvl="3"/>
    <w:lvlOverride w:ilvl="4"/>
    <w:lvlOverride w:ilvl="5"/>
    <w:lvlOverride w:ilvl="6"/>
    <w:lvlOverride w:ilvl="7"/>
    <w:lvlOverride w:ilvl="8"/>
  </w:num>
  <w:num w:numId="4">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D33DA"/>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700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CC0B3F"/>
  <w15:docId w15:val="{1FBA656B-DD89-40E9-A88E-1EE5D1AAC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554923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C55C26-AB6D-4F00-9C2F-3682841F7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Kerry Doyle</cp:lastModifiedBy>
  <cp:revision>2</cp:revision>
  <dcterms:created xsi:type="dcterms:W3CDTF">2017-01-07T13:22:00Z</dcterms:created>
  <dcterms:modified xsi:type="dcterms:W3CDTF">2017-01-07T13:22:00Z</dcterms:modified>
</cp:coreProperties>
</file>