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7A3" w:rsidRDefault="00CD1237" w:rsidP="008F41A1">
      <w:pPr>
        <w:jc w:val="both"/>
      </w:pPr>
      <w:r>
        <w:t>Assesment 1</w:t>
      </w:r>
    </w:p>
    <w:p w:rsidR="00CD1237" w:rsidRDefault="00CD1237" w:rsidP="008F41A1">
      <w:pPr>
        <w:jc w:val="both"/>
      </w:pPr>
    </w:p>
    <w:p w:rsidR="00CD1237" w:rsidRDefault="00CD1237" w:rsidP="008F41A1">
      <w:pPr>
        <w:pStyle w:val="ListParagraph"/>
        <w:numPr>
          <w:ilvl w:val="0"/>
          <w:numId w:val="1"/>
        </w:numPr>
        <w:jc w:val="both"/>
      </w:pPr>
      <w:r>
        <w:t>i) Accounting is the art the of recording, classifying and summarizing in a significant manner and in terms of money, transactions and events which are in part at least of a financial character and interpreting the results thereof.</w:t>
      </w:r>
    </w:p>
    <w:p w:rsidR="00CD1237" w:rsidRDefault="00CD1237" w:rsidP="008F41A1">
      <w:pPr>
        <w:pStyle w:val="ListParagraph"/>
        <w:ind w:left="360"/>
        <w:jc w:val="both"/>
      </w:pPr>
    </w:p>
    <w:p w:rsidR="00CD1237" w:rsidRDefault="00CD1237" w:rsidP="008F41A1">
      <w:pPr>
        <w:pStyle w:val="ListParagraph"/>
        <w:ind w:left="360"/>
        <w:jc w:val="both"/>
      </w:pPr>
      <w:r>
        <w:t>ii) Some of the primary objectives of accounting are –</w:t>
      </w:r>
    </w:p>
    <w:p w:rsidR="00CD1237" w:rsidRDefault="00CD1237" w:rsidP="008F41A1">
      <w:pPr>
        <w:pStyle w:val="ListParagraph"/>
        <w:numPr>
          <w:ilvl w:val="1"/>
          <w:numId w:val="1"/>
        </w:numPr>
        <w:jc w:val="both"/>
      </w:pPr>
      <w:r>
        <w:t>to keep systematic records</w:t>
      </w:r>
    </w:p>
    <w:p w:rsidR="00CD1237" w:rsidRDefault="00CD1237" w:rsidP="008F41A1">
      <w:pPr>
        <w:pStyle w:val="ListParagraph"/>
        <w:numPr>
          <w:ilvl w:val="1"/>
          <w:numId w:val="1"/>
        </w:numPr>
        <w:jc w:val="both"/>
      </w:pPr>
      <w:r>
        <w:t>To ascertain the results of the operation</w:t>
      </w:r>
    </w:p>
    <w:p w:rsidR="00CD1237" w:rsidRDefault="00CD1237" w:rsidP="008F41A1">
      <w:pPr>
        <w:pStyle w:val="ListParagraph"/>
        <w:numPr>
          <w:ilvl w:val="1"/>
          <w:numId w:val="1"/>
        </w:numPr>
        <w:jc w:val="both"/>
      </w:pPr>
      <w:r>
        <w:t>To ascertain the financial position of the business</w:t>
      </w:r>
    </w:p>
    <w:p w:rsidR="00CD1237" w:rsidRDefault="00CD1237" w:rsidP="008F41A1">
      <w:pPr>
        <w:pStyle w:val="ListParagraph"/>
        <w:numPr>
          <w:ilvl w:val="1"/>
          <w:numId w:val="1"/>
        </w:numPr>
        <w:jc w:val="both"/>
      </w:pPr>
      <w:r>
        <w:t>To portray the liquidity position</w:t>
      </w:r>
    </w:p>
    <w:p w:rsidR="00CD1237" w:rsidRDefault="00CD1237" w:rsidP="008F41A1">
      <w:pPr>
        <w:pStyle w:val="ListParagraph"/>
        <w:numPr>
          <w:ilvl w:val="1"/>
          <w:numId w:val="1"/>
        </w:numPr>
        <w:jc w:val="both"/>
      </w:pPr>
      <w:r>
        <w:t xml:space="preserve">To protect business properties </w:t>
      </w:r>
    </w:p>
    <w:p w:rsidR="00CD1237" w:rsidRDefault="00CD1237" w:rsidP="008F41A1">
      <w:pPr>
        <w:pStyle w:val="ListParagraph"/>
        <w:numPr>
          <w:ilvl w:val="1"/>
          <w:numId w:val="1"/>
        </w:numPr>
        <w:jc w:val="both"/>
      </w:pPr>
      <w:r>
        <w:t>To facilitate rational decision making</w:t>
      </w:r>
    </w:p>
    <w:p w:rsidR="00CD1237" w:rsidRDefault="00CD1237" w:rsidP="008F41A1">
      <w:pPr>
        <w:pStyle w:val="ListParagraph"/>
        <w:numPr>
          <w:ilvl w:val="1"/>
          <w:numId w:val="1"/>
        </w:numPr>
        <w:jc w:val="both"/>
      </w:pPr>
      <w:r>
        <w:t>To satisfy the requirements of law</w:t>
      </w:r>
    </w:p>
    <w:p w:rsidR="00CD1237" w:rsidRDefault="00CD1237" w:rsidP="008F41A1">
      <w:pPr>
        <w:ind w:left="360"/>
        <w:jc w:val="both"/>
      </w:pPr>
      <w:r>
        <w:t>iii) Accounting as 5 limitations</w:t>
      </w:r>
    </w:p>
    <w:p w:rsidR="00CD1237" w:rsidRDefault="00CD1237" w:rsidP="008F41A1">
      <w:pPr>
        <w:pStyle w:val="ListParagraph"/>
        <w:numPr>
          <w:ilvl w:val="0"/>
          <w:numId w:val="2"/>
        </w:numPr>
        <w:jc w:val="both"/>
      </w:pPr>
      <w:r>
        <w:t xml:space="preserve">Record keeping- helps maintain the records of the financial </w:t>
      </w:r>
      <w:r w:rsidR="00941E94">
        <w:t>transactions</w:t>
      </w:r>
      <w:r>
        <w:t xml:space="preserve"> only.</w:t>
      </w:r>
    </w:p>
    <w:p w:rsidR="00CD1237" w:rsidRDefault="00CD1237" w:rsidP="008F41A1">
      <w:pPr>
        <w:pStyle w:val="ListParagraph"/>
        <w:numPr>
          <w:ilvl w:val="0"/>
          <w:numId w:val="2"/>
        </w:numPr>
        <w:jc w:val="both"/>
      </w:pPr>
      <w:r>
        <w:t xml:space="preserve">Accuracy of information generated by accounting system </w:t>
      </w:r>
      <w:r w:rsidR="00941E94">
        <w:t>– Various areas of business such as revenue, losses, assets, and liabilities are analyzed. Accountants rely on both real and assumed estimates. However these methods differ from business to business</w:t>
      </w:r>
    </w:p>
    <w:p w:rsidR="00CD1237" w:rsidRDefault="00CD1237" w:rsidP="008F41A1">
      <w:pPr>
        <w:pStyle w:val="ListParagraph"/>
        <w:numPr>
          <w:ilvl w:val="0"/>
          <w:numId w:val="2"/>
        </w:numPr>
        <w:jc w:val="both"/>
      </w:pPr>
      <w:r>
        <w:t xml:space="preserve">Value of assets - </w:t>
      </w:r>
      <w:r w:rsidR="00941E94">
        <w:t xml:space="preserve"> Its helps adjust the assets shown in balance sheet according to the conventional rules of accounting. But when assets are shown in balance sheet final results can be dubious.</w:t>
      </w:r>
    </w:p>
    <w:p w:rsidR="00941E94" w:rsidRDefault="00941E94" w:rsidP="008F41A1">
      <w:pPr>
        <w:pStyle w:val="ListParagraph"/>
        <w:numPr>
          <w:ilvl w:val="0"/>
          <w:numId w:val="2"/>
        </w:numPr>
        <w:jc w:val="both"/>
      </w:pPr>
      <w:r>
        <w:t>Window dressing – helps firms increase profit in short terms. It involves maintenance of plant and machinery  which will decrease costs and increase profitability  but these kind of strategies as also lease to complete disruption in production and operations which machinery breaks down.</w:t>
      </w:r>
    </w:p>
    <w:p w:rsidR="00941E94" w:rsidRDefault="00941E94" w:rsidP="008F41A1">
      <w:pPr>
        <w:pStyle w:val="ListParagraph"/>
        <w:numPr>
          <w:ilvl w:val="0"/>
          <w:numId w:val="2"/>
        </w:numPr>
        <w:jc w:val="both"/>
      </w:pPr>
      <w:r>
        <w:t>Changing price level – accounting measures of performance and evaluation of financial positions may not be accurate due to changing prices and changes in value of assest.</w:t>
      </w:r>
    </w:p>
    <w:p w:rsidR="00953A8B" w:rsidRDefault="00953A8B" w:rsidP="008F41A1">
      <w:pPr>
        <w:ind w:left="360"/>
        <w:jc w:val="both"/>
      </w:pPr>
      <w:r>
        <w:t>iv) Data Evaluation controls activities by evaluating business performance, analyzing financial statement, analyzing cash flow and helps choosing alternative courses for decision making process.</w:t>
      </w:r>
    </w:p>
    <w:p w:rsidR="00953A8B" w:rsidRDefault="00953A8B" w:rsidP="008F41A1">
      <w:pPr>
        <w:ind w:left="360"/>
        <w:jc w:val="both"/>
      </w:pPr>
      <w:r>
        <w:t>v)</w:t>
      </w:r>
    </w:p>
    <w:p w:rsidR="00953A8B" w:rsidRDefault="00953A8B" w:rsidP="008F41A1">
      <w:pPr>
        <w:pStyle w:val="ListParagraph"/>
        <w:numPr>
          <w:ilvl w:val="0"/>
          <w:numId w:val="3"/>
        </w:numPr>
        <w:jc w:val="both"/>
      </w:pPr>
      <w:r>
        <w:t>Lenders also known as Creditors usually lend money for a year or less. Long term lenders are those who give loans for longer periods of the times and issue the loan in the form of secured loans.</w:t>
      </w:r>
    </w:p>
    <w:p w:rsidR="00953A8B" w:rsidRDefault="00953A8B" w:rsidP="008F41A1">
      <w:pPr>
        <w:pStyle w:val="ListParagraph"/>
        <w:numPr>
          <w:ilvl w:val="0"/>
          <w:numId w:val="3"/>
        </w:numPr>
        <w:jc w:val="both"/>
      </w:pPr>
      <w:r>
        <w:t xml:space="preserve">Employees are  </w:t>
      </w:r>
      <w:r w:rsidR="00512969">
        <w:t>considered important users of the company’s financial information as their input is required for matters such as settlement of wages, bonuses, output benchmarks and profit sharing.</w:t>
      </w:r>
    </w:p>
    <w:p w:rsidR="00512969" w:rsidRDefault="00512969" w:rsidP="008F41A1">
      <w:pPr>
        <w:pStyle w:val="ListParagraph"/>
        <w:numPr>
          <w:ilvl w:val="0"/>
          <w:numId w:val="3"/>
        </w:numPr>
        <w:jc w:val="both"/>
      </w:pPr>
      <w:r>
        <w:lastRenderedPageBreak/>
        <w:t>Customer/ consumers are the ones which looks after welfare of the consumers and public</w:t>
      </w:r>
    </w:p>
    <w:p w:rsidR="008F41A1" w:rsidRDefault="008F41A1" w:rsidP="008F41A1">
      <w:pPr>
        <w:pStyle w:val="ListParagraph"/>
        <w:jc w:val="both"/>
      </w:pPr>
      <w:r w:rsidRPr="008F41A1">
        <w:rPr>
          <w:lang w:val="en-US"/>
        </w:rPr>
        <w:t>Evolution of Modern Accounting</w:t>
      </w:r>
    </w:p>
    <w:p w:rsidR="00BC1778" w:rsidRPr="008F41A1" w:rsidRDefault="00BC1778" w:rsidP="008F41A1">
      <w:pPr>
        <w:pStyle w:val="ListParagraph"/>
        <w:jc w:val="both"/>
        <w:rPr>
          <w:lang w:val="en-US"/>
        </w:rPr>
      </w:pPr>
    </w:p>
    <w:p w:rsidR="00BC1778" w:rsidRPr="00BC1778" w:rsidRDefault="00755E11" w:rsidP="00BC1778">
      <w:pPr>
        <w:pStyle w:val="ListParagraph"/>
        <w:numPr>
          <w:ilvl w:val="0"/>
          <w:numId w:val="1"/>
        </w:numPr>
        <w:autoSpaceDE w:val="0"/>
        <w:autoSpaceDN w:val="0"/>
        <w:adjustRightInd w:val="0"/>
        <w:spacing w:after="0" w:line="240" w:lineRule="auto"/>
        <w:rPr>
          <w:rFonts w:ascii="Calibri" w:hAnsi="Calibri" w:cs="Calibri"/>
          <w:sz w:val="24"/>
          <w:szCs w:val="24"/>
        </w:rPr>
      </w:pPr>
      <w:r w:rsidRPr="00755E11">
        <w:rPr>
          <w:rFonts w:ascii="Calibri" w:hAnsi="Calibri" w:cs="Calibri"/>
          <w:sz w:val="24"/>
          <w:szCs w:val="24"/>
        </w:rPr>
        <w:t>Modern accounting theory views the process of accounting as a system for generating information. It starts</w:t>
      </w:r>
      <w:r w:rsidR="00BC1778">
        <w:rPr>
          <w:rFonts w:ascii="Calibri" w:hAnsi="Calibri" w:cs="Calibri"/>
          <w:sz w:val="24"/>
          <w:szCs w:val="24"/>
        </w:rPr>
        <w:t xml:space="preserve"> </w:t>
      </w:r>
      <w:r w:rsidRPr="00BC1778">
        <w:rPr>
          <w:rFonts w:ascii="Calibri" w:hAnsi="Calibri" w:cs="Calibri"/>
          <w:sz w:val="24"/>
          <w:szCs w:val="24"/>
        </w:rPr>
        <w:t>with business transactions of financial nature that are considered as raw</w:t>
      </w:r>
      <w:r w:rsidRPr="00BC1778">
        <w:rPr>
          <w:rFonts w:ascii="Calibri" w:hAnsi="Calibri" w:cs="Calibri"/>
          <w:sz w:val="24"/>
          <w:szCs w:val="24"/>
        </w:rPr>
        <w:t xml:space="preserve"> data. This data is identified, </w:t>
      </w:r>
      <w:r w:rsidRPr="00BC1778">
        <w:rPr>
          <w:rFonts w:ascii="Calibri" w:hAnsi="Calibri" w:cs="Calibri"/>
          <w:sz w:val="24"/>
          <w:szCs w:val="24"/>
        </w:rPr>
        <w:t>classified, recorded and then summarized according to standard accounting framework as a part of the</w:t>
      </w:r>
      <w:r w:rsidRPr="00BC1778">
        <w:rPr>
          <w:rFonts w:ascii="Calibri" w:hAnsi="Calibri" w:cs="Calibri"/>
          <w:sz w:val="24"/>
          <w:szCs w:val="24"/>
        </w:rPr>
        <w:t xml:space="preserve"> </w:t>
      </w:r>
      <w:r w:rsidRPr="00BC1778">
        <w:rPr>
          <w:rFonts w:ascii="Calibri" w:hAnsi="Calibri" w:cs="Calibri"/>
          <w:sz w:val="24"/>
          <w:szCs w:val="24"/>
        </w:rPr>
        <w:t>book keeping process. Financial statements are generated as an output of</w:t>
      </w:r>
      <w:r w:rsidR="00BC1778" w:rsidRPr="00BC1778">
        <w:rPr>
          <w:rFonts w:ascii="Calibri" w:hAnsi="Calibri" w:cs="Calibri"/>
          <w:sz w:val="24"/>
          <w:szCs w:val="24"/>
        </w:rPr>
        <w:t xml:space="preserve"> processing raw information for </w:t>
      </w:r>
      <w:r w:rsidRPr="00BC1778">
        <w:rPr>
          <w:rFonts w:ascii="Calibri" w:hAnsi="Calibri" w:cs="Calibri"/>
          <w:sz w:val="24"/>
          <w:szCs w:val="24"/>
        </w:rPr>
        <w:t>internal and external parties that are relevant to the business organisatio</w:t>
      </w:r>
      <w:r w:rsidR="00BC1778" w:rsidRPr="00BC1778">
        <w:rPr>
          <w:rFonts w:ascii="Calibri" w:hAnsi="Calibri" w:cs="Calibri"/>
          <w:sz w:val="24"/>
          <w:szCs w:val="24"/>
        </w:rPr>
        <w:t xml:space="preserve">n. These statements and reports </w:t>
      </w:r>
      <w:r w:rsidRPr="00BC1778">
        <w:rPr>
          <w:rFonts w:ascii="Calibri" w:hAnsi="Calibri" w:cs="Calibri"/>
          <w:sz w:val="24"/>
          <w:szCs w:val="24"/>
        </w:rPr>
        <w:t>help in the decision making process as well as in planning and controlling business activities.</w:t>
      </w:r>
      <w:r w:rsidR="00BC1778">
        <w:rPr>
          <w:rFonts w:ascii="Calibri" w:hAnsi="Calibri" w:cs="Calibri"/>
          <w:sz w:val="24"/>
          <w:szCs w:val="24"/>
        </w:rPr>
        <w:t xml:space="preserve"> </w:t>
      </w:r>
      <w:r w:rsidRPr="00BC1778">
        <w:rPr>
          <w:rFonts w:ascii="Calibri" w:hAnsi="Calibri" w:cs="Calibri"/>
          <w:sz w:val="24"/>
          <w:szCs w:val="24"/>
        </w:rPr>
        <w:t>Therefore, the role of accounting, as an information generated sy</w:t>
      </w:r>
      <w:r w:rsidRPr="00BC1778">
        <w:rPr>
          <w:rFonts w:ascii="Calibri" w:hAnsi="Calibri" w:cs="Calibri"/>
          <w:sz w:val="24"/>
          <w:szCs w:val="24"/>
        </w:rPr>
        <w:t xml:space="preserve">stem, is also called Accounting </w:t>
      </w:r>
      <w:r w:rsidRPr="00BC1778">
        <w:rPr>
          <w:rFonts w:ascii="Calibri" w:hAnsi="Calibri" w:cs="Calibri"/>
          <w:sz w:val="24"/>
          <w:szCs w:val="24"/>
        </w:rPr>
        <w:t>Information System (AIS).</w:t>
      </w:r>
      <w:r w:rsidR="00BC1778">
        <w:rPr>
          <w:rFonts w:ascii="Calibri" w:hAnsi="Calibri" w:cs="Calibri"/>
          <w:sz w:val="24"/>
          <w:szCs w:val="24"/>
        </w:rPr>
        <w:t xml:space="preserve"> </w:t>
      </w:r>
      <w:r w:rsidR="00BC1778" w:rsidRPr="00BC1778">
        <w:rPr>
          <w:rFonts w:ascii="Calibri" w:hAnsi="Calibri" w:cs="Calibri"/>
          <w:sz w:val="24"/>
          <w:szCs w:val="24"/>
        </w:rPr>
        <w:t xml:space="preserve">Bookkeeping is common in all theories of accounting as it is an essential part of </w:t>
      </w:r>
      <w:r w:rsidR="00BC1778" w:rsidRPr="00BC1778">
        <w:rPr>
          <w:rFonts w:ascii="Calibri" w:hAnsi="Calibri" w:cs="Calibri"/>
          <w:sz w:val="24"/>
          <w:szCs w:val="24"/>
        </w:rPr>
        <w:t xml:space="preserve">accounting. It is important </w:t>
      </w:r>
      <w:r w:rsidR="00BC1778" w:rsidRPr="00BC1778">
        <w:rPr>
          <w:rFonts w:ascii="Calibri" w:hAnsi="Calibri" w:cs="Calibri"/>
          <w:sz w:val="24"/>
          <w:szCs w:val="24"/>
        </w:rPr>
        <w:t>to know the users of information generated by accounting.</w:t>
      </w:r>
    </w:p>
    <w:p w:rsidR="00755E11" w:rsidRDefault="00755E11" w:rsidP="00755E11">
      <w:pPr>
        <w:pStyle w:val="ListParagraph"/>
        <w:ind w:left="360"/>
        <w:jc w:val="both"/>
        <w:rPr>
          <w:rFonts w:ascii="Calibri" w:hAnsi="Calibri" w:cs="Calibri"/>
          <w:sz w:val="24"/>
          <w:szCs w:val="24"/>
        </w:rPr>
      </w:pPr>
    </w:p>
    <w:p w:rsidR="005F1383" w:rsidRDefault="005F1383" w:rsidP="005F1383">
      <w:pPr>
        <w:pStyle w:val="ListParagraph"/>
        <w:numPr>
          <w:ilvl w:val="0"/>
          <w:numId w:val="1"/>
        </w:numPr>
        <w:autoSpaceDE w:val="0"/>
        <w:autoSpaceDN w:val="0"/>
        <w:adjustRightInd w:val="0"/>
        <w:spacing w:after="0" w:line="240" w:lineRule="auto"/>
        <w:rPr>
          <w:rFonts w:ascii="Calibri" w:hAnsi="Calibri" w:cs="Calibri"/>
          <w:sz w:val="24"/>
          <w:szCs w:val="24"/>
        </w:rPr>
      </w:pPr>
      <w:r>
        <w:rPr>
          <w:rFonts w:ascii="Calibri" w:hAnsi="Calibri" w:cs="Calibri"/>
          <w:sz w:val="24"/>
          <w:szCs w:val="24"/>
        </w:rPr>
        <w:t>There are 8 basic steps involved in Accounting Cycle</w:t>
      </w:r>
    </w:p>
    <w:p w:rsidR="005F1383" w:rsidRDefault="005F1383" w:rsidP="005F1383">
      <w:pPr>
        <w:pStyle w:val="ListParagraph"/>
        <w:autoSpaceDE w:val="0"/>
        <w:autoSpaceDN w:val="0"/>
        <w:adjustRightInd w:val="0"/>
        <w:spacing w:after="0" w:line="240" w:lineRule="auto"/>
        <w:ind w:left="360"/>
        <w:rPr>
          <w:rFonts w:ascii="Calibri" w:hAnsi="Calibri" w:cs="Calibri"/>
          <w:sz w:val="24"/>
          <w:szCs w:val="24"/>
        </w:rPr>
      </w:pPr>
    </w:p>
    <w:p w:rsidR="005F1383" w:rsidRDefault="005F1383" w:rsidP="005F1383">
      <w:pPr>
        <w:pStyle w:val="ListParagraph"/>
        <w:autoSpaceDE w:val="0"/>
        <w:autoSpaceDN w:val="0"/>
        <w:adjustRightInd w:val="0"/>
        <w:spacing w:after="0" w:line="240" w:lineRule="auto"/>
        <w:ind w:left="360"/>
        <w:rPr>
          <w:rFonts w:ascii="Calibri" w:hAnsi="Calibri" w:cs="Calibri"/>
          <w:noProof/>
          <w:sz w:val="24"/>
          <w:szCs w:val="24"/>
        </w:rPr>
      </w:pPr>
      <w:r>
        <w:rPr>
          <w:rFonts w:ascii="Calibri" w:hAnsi="Calibri" w:cs="Calibri"/>
          <w:noProof/>
          <w:sz w:val="24"/>
          <w:szCs w:val="24"/>
        </w:rPr>
        <w:drawing>
          <wp:inline distT="0" distB="0" distL="0" distR="0">
            <wp:extent cx="5686425" cy="3752850"/>
            <wp:effectExtent l="0" t="38100" r="0" b="11430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5F1383" w:rsidRDefault="005F1383" w:rsidP="005F1383">
      <w:pPr>
        <w:pStyle w:val="ListParagraph"/>
        <w:autoSpaceDE w:val="0"/>
        <w:autoSpaceDN w:val="0"/>
        <w:adjustRightInd w:val="0"/>
        <w:spacing w:after="0" w:line="240" w:lineRule="auto"/>
        <w:ind w:left="360"/>
        <w:rPr>
          <w:rFonts w:ascii="Calibri" w:hAnsi="Calibri" w:cs="Calibri"/>
          <w:noProof/>
          <w:sz w:val="24"/>
          <w:szCs w:val="24"/>
        </w:rPr>
      </w:pPr>
    </w:p>
    <w:p w:rsidR="005F1383" w:rsidRDefault="005F1383" w:rsidP="005F1383">
      <w:pPr>
        <w:pStyle w:val="ListParagraph"/>
        <w:autoSpaceDE w:val="0"/>
        <w:autoSpaceDN w:val="0"/>
        <w:adjustRightInd w:val="0"/>
        <w:spacing w:after="0" w:line="240" w:lineRule="auto"/>
        <w:ind w:left="360"/>
        <w:rPr>
          <w:rFonts w:ascii="Calibri" w:hAnsi="Calibri" w:cs="Calibri"/>
          <w:sz w:val="24"/>
          <w:szCs w:val="24"/>
        </w:rPr>
      </w:pPr>
    </w:p>
    <w:p w:rsidR="005F1383" w:rsidRPr="005F1383" w:rsidRDefault="005F1383" w:rsidP="005F1383">
      <w:pPr>
        <w:pStyle w:val="ListParagraph"/>
        <w:autoSpaceDE w:val="0"/>
        <w:autoSpaceDN w:val="0"/>
        <w:adjustRightInd w:val="0"/>
        <w:spacing w:after="0" w:line="240" w:lineRule="auto"/>
        <w:ind w:left="360"/>
        <w:rPr>
          <w:rFonts w:ascii="Calibri" w:hAnsi="Calibri" w:cs="Calibri"/>
          <w:sz w:val="24"/>
          <w:szCs w:val="24"/>
        </w:rPr>
      </w:pPr>
    </w:p>
    <w:p w:rsidR="008F41A1" w:rsidRDefault="008F41A1" w:rsidP="005F1383">
      <w:pPr>
        <w:jc w:val="both"/>
      </w:pPr>
    </w:p>
    <w:p w:rsidR="005F1383" w:rsidRPr="005F1383" w:rsidRDefault="005F1383" w:rsidP="005F1383">
      <w:pPr>
        <w:jc w:val="both"/>
        <w:rPr>
          <w:b/>
          <w:lang w:val="en-US"/>
        </w:rPr>
      </w:pPr>
      <w:r w:rsidRPr="005F1383">
        <w:rPr>
          <w:b/>
        </w:rPr>
        <w:t>1.</w:t>
      </w:r>
      <w:r w:rsidRPr="005F1383">
        <w:rPr>
          <w:b/>
          <w:lang w:val="en-US"/>
        </w:rPr>
        <w:t>Transactions</w:t>
      </w:r>
    </w:p>
    <w:p w:rsidR="005F1383" w:rsidRPr="005F1383" w:rsidRDefault="005F1383" w:rsidP="005F1383">
      <w:pPr>
        <w:jc w:val="both"/>
        <w:rPr>
          <w:lang w:val="en-US"/>
        </w:rPr>
      </w:pPr>
      <w:r w:rsidRPr="005F1383">
        <w:rPr>
          <w:lang w:val="en-US"/>
        </w:rPr>
        <w:lastRenderedPageBreak/>
        <w:t>Financial transactions include sale of an asset, acquiring new equipmen</w:t>
      </w:r>
      <w:r>
        <w:t xml:space="preserve">t, paying off loans, recovering </w:t>
      </w:r>
      <w:r w:rsidRPr="005F1383">
        <w:rPr>
          <w:lang w:val="en-US"/>
        </w:rPr>
        <w:t>debt, capital from the company’s owners, paying out dividends to owne</w:t>
      </w:r>
      <w:r>
        <w:t xml:space="preserve">rs, and any other activity that </w:t>
      </w:r>
      <w:r w:rsidRPr="005F1383">
        <w:rPr>
          <w:lang w:val="en-US"/>
        </w:rPr>
        <w:t>involves an exchange of the company’s asset. The accounting cycle starts from these transactions.</w:t>
      </w:r>
    </w:p>
    <w:p w:rsidR="005F1383" w:rsidRPr="005F1383" w:rsidRDefault="005F1383" w:rsidP="005F1383">
      <w:pPr>
        <w:jc w:val="both"/>
        <w:rPr>
          <w:b/>
          <w:lang w:val="en-US"/>
        </w:rPr>
      </w:pPr>
      <w:r w:rsidRPr="005F1383">
        <w:rPr>
          <w:b/>
          <w:lang w:val="en-US"/>
        </w:rPr>
        <w:t>2. Journal entries</w:t>
      </w:r>
    </w:p>
    <w:p w:rsidR="005F1383" w:rsidRPr="005F1383" w:rsidRDefault="005F1383" w:rsidP="005F1383">
      <w:pPr>
        <w:jc w:val="both"/>
        <w:rPr>
          <w:lang w:val="en-US"/>
        </w:rPr>
      </w:pPr>
      <w:r w:rsidRPr="005F1383">
        <w:rPr>
          <w:lang w:val="en-US"/>
        </w:rPr>
        <w:t>After transactions have occurred, they are entered in a chronologic</w:t>
      </w:r>
      <w:r>
        <w:t xml:space="preserve">al order in the journals. These </w:t>
      </w:r>
      <w:r w:rsidRPr="005F1383">
        <w:rPr>
          <w:lang w:val="en-US"/>
        </w:rPr>
        <w:t>journals are called books of original entry and they contain a record of b</w:t>
      </w:r>
      <w:r>
        <w:t xml:space="preserve">usiness transactions along </w:t>
      </w:r>
      <w:r w:rsidRPr="005F1383">
        <w:rPr>
          <w:lang w:val="en-US"/>
        </w:rPr>
        <w:t>with the date on which the transaction occurred, the kind, and the amount of the transaction.</w:t>
      </w:r>
    </w:p>
    <w:p w:rsidR="005F1383" w:rsidRPr="005F1383" w:rsidRDefault="005F1383" w:rsidP="005F1383">
      <w:pPr>
        <w:jc w:val="both"/>
        <w:rPr>
          <w:b/>
          <w:lang w:val="en-US"/>
        </w:rPr>
      </w:pPr>
      <w:r w:rsidRPr="005F1383">
        <w:rPr>
          <w:b/>
          <w:lang w:val="en-US"/>
        </w:rPr>
        <w:t>3. Posting</w:t>
      </w:r>
    </w:p>
    <w:p w:rsidR="005F1383" w:rsidRPr="005F1383" w:rsidRDefault="005F1383" w:rsidP="005F1383">
      <w:pPr>
        <w:jc w:val="both"/>
        <w:rPr>
          <w:lang w:val="en-US"/>
        </w:rPr>
      </w:pPr>
      <w:r w:rsidRPr="005F1383">
        <w:rPr>
          <w:lang w:val="en-US"/>
        </w:rPr>
        <w:t>The general ledger contains a summary of all business accounts. Transa</w:t>
      </w:r>
      <w:r>
        <w:t xml:space="preserve">ctions are recorded in journals </w:t>
      </w:r>
      <w:r w:rsidRPr="005F1383">
        <w:rPr>
          <w:lang w:val="en-US"/>
        </w:rPr>
        <w:t>and are then posted to accounts that they belong to in the general ledger.</w:t>
      </w:r>
    </w:p>
    <w:p w:rsidR="005F1383" w:rsidRPr="005F1383" w:rsidRDefault="005F1383" w:rsidP="005F1383">
      <w:pPr>
        <w:jc w:val="both"/>
        <w:rPr>
          <w:b/>
          <w:lang w:val="en-US"/>
        </w:rPr>
      </w:pPr>
      <w:r w:rsidRPr="005F1383">
        <w:rPr>
          <w:b/>
          <w:lang w:val="en-US"/>
        </w:rPr>
        <w:t>4. Trial Balance</w:t>
      </w:r>
    </w:p>
    <w:p w:rsidR="005F1383" w:rsidRPr="005F1383" w:rsidRDefault="005F1383" w:rsidP="005F1383">
      <w:pPr>
        <w:jc w:val="both"/>
        <w:rPr>
          <w:lang w:val="en-US"/>
        </w:rPr>
      </w:pPr>
      <w:r w:rsidRPr="005F1383">
        <w:rPr>
          <w:lang w:val="en-US"/>
        </w:rPr>
        <w:t>A trial balance is prepared at the end of an accounting period, which</w:t>
      </w:r>
      <w:r>
        <w:t xml:space="preserve"> can be a month, a quarter or a </w:t>
      </w:r>
      <w:r w:rsidRPr="005F1383">
        <w:rPr>
          <w:lang w:val="en-US"/>
        </w:rPr>
        <w:t>year depending on the business’s practice.</w:t>
      </w:r>
    </w:p>
    <w:p w:rsidR="005F1383" w:rsidRPr="00755E11" w:rsidRDefault="005F1383" w:rsidP="005F1383">
      <w:pPr>
        <w:jc w:val="both"/>
        <w:rPr>
          <w:b/>
          <w:lang w:val="en-US"/>
        </w:rPr>
      </w:pPr>
      <w:r w:rsidRPr="00755E11">
        <w:rPr>
          <w:b/>
          <w:lang w:val="en-US"/>
        </w:rPr>
        <w:t>5. Worksheet</w:t>
      </w:r>
    </w:p>
    <w:p w:rsidR="005F1383" w:rsidRPr="005F1383" w:rsidRDefault="005F1383" w:rsidP="005F1383">
      <w:pPr>
        <w:jc w:val="both"/>
        <w:rPr>
          <w:lang w:val="en-US"/>
        </w:rPr>
      </w:pPr>
      <w:r w:rsidRPr="005F1383">
        <w:rPr>
          <w:lang w:val="en-US"/>
        </w:rPr>
        <w:t>It often happens that the entries in trial balance do not balance i.e. inf</w:t>
      </w:r>
      <w:r>
        <w:t xml:space="preserve">lows do not equal outflows, and </w:t>
      </w:r>
      <w:r w:rsidRPr="005F1383">
        <w:rPr>
          <w:lang w:val="en-US"/>
        </w:rPr>
        <w:t>certain corrections and adjustments have to be made. These adjustments are recorded in worksheets.</w:t>
      </w:r>
      <w:r w:rsidRPr="005F1383">
        <w:rPr>
          <w:lang w:val="en-US"/>
        </w:rPr>
        <w:t xml:space="preserve"> </w:t>
      </w:r>
      <w:r w:rsidRPr="005F1383">
        <w:rPr>
          <w:lang w:val="en-US"/>
        </w:rPr>
        <w:t>Depreciation of an asset, one-time payments like insurance, advance payments etc. are some</w:t>
      </w:r>
      <w:r w:rsidRPr="005F1383">
        <w:rPr>
          <w:lang w:val="en-US"/>
        </w:rPr>
        <w:t xml:space="preserve"> </w:t>
      </w:r>
      <w:r w:rsidRPr="005F1383">
        <w:rPr>
          <w:lang w:val="en-US"/>
        </w:rPr>
        <w:t>examples of the adjustments that are shown in worksheets. An adjusted trial balance is made to ensure</w:t>
      </w:r>
      <w:r w:rsidRPr="005F1383">
        <w:rPr>
          <w:lang w:val="en-US"/>
        </w:rPr>
        <w:t xml:space="preserve"> </w:t>
      </w:r>
      <w:r w:rsidRPr="005F1383">
        <w:rPr>
          <w:lang w:val="en-US"/>
        </w:rPr>
        <w:t>that all accounts are in balance.</w:t>
      </w:r>
    </w:p>
    <w:p w:rsidR="005F1383" w:rsidRPr="00755E11" w:rsidRDefault="005F1383" w:rsidP="005F1383">
      <w:pPr>
        <w:jc w:val="both"/>
        <w:rPr>
          <w:b/>
          <w:lang w:val="en-US"/>
        </w:rPr>
      </w:pPr>
      <w:r w:rsidRPr="00755E11">
        <w:rPr>
          <w:b/>
          <w:lang w:val="en-US"/>
        </w:rPr>
        <w:t>6. Adjusting Journal Entries</w:t>
      </w:r>
    </w:p>
    <w:p w:rsidR="005F1383" w:rsidRPr="005F1383" w:rsidRDefault="005F1383" w:rsidP="005F1383">
      <w:pPr>
        <w:jc w:val="both"/>
        <w:rPr>
          <w:lang w:val="en-US"/>
        </w:rPr>
      </w:pPr>
      <w:r w:rsidRPr="005F1383">
        <w:rPr>
          <w:lang w:val="en-US"/>
        </w:rPr>
        <w:t>After the errors in trial balance are recognized and corrections are made, the ad</w:t>
      </w:r>
      <w:r>
        <w:t xml:space="preserve">justed trial balance is </w:t>
      </w:r>
      <w:r w:rsidRPr="005F1383">
        <w:rPr>
          <w:lang w:val="en-US"/>
        </w:rPr>
        <w:t>prepared. Adjusting entries are not made until all corrections are made and trial balance is prepared.</w:t>
      </w:r>
    </w:p>
    <w:p w:rsidR="005F1383" w:rsidRPr="00755E11" w:rsidRDefault="005F1383" w:rsidP="005F1383">
      <w:pPr>
        <w:jc w:val="both"/>
        <w:rPr>
          <w:b/>
          <w:lang w:val="en-US"/>
        </w:rPr>
      </w:pPr>
      <w:r w:rsidRPr="00755E11">
        <w:rPr>
          <w:b/>
          <w:lang w:val="en-US"/>
        </w:rPr>
        <w:t>7. Financial Statements</w:t>
      </w:r>
    </w:p>
    <w:p w:rsidR="005F1383" w:rsidRPr="005F1383" w:rsidRDefault="005F1383" w:rsidP="005F1383">
      <w:pPr>
        <w:jc w:val="both"/>
        <w:rPr>
          <w:lang w:val="en-US"/>
        </w:rPr>
      </w:pPr>
      <w:r w:rsidRPr="005F1383">
        <w:rPr>
          <w:lang w:val="en-US"/>
        </w:rPr>
        <w:t>Profit and loss account and balance sheet are prepared using the correct and adjusted accounts.</w:t>
      </w:r>
    </w:p>
    <w:p w:rsidR="005F1383" w:rsidRPr="00755E11" w:rsidRDefault="005F1383" w:rsidP="005F1383">
      <w:pPr>
        <w:jc w:val="both"/>
        <w:rPr>
          <w:b/>
          <w:lang w:val="en-US"/>
        </w:rPr>
      </w:pPr>
      <w:r w:rsidRPr="00755E11">
        <w:rPr>
          <w:b/>
          <w:lang w:val="en-US"/>
        </w:rPr>
        <w:t>8. Closing the Books</w:t>
      </w:r>
    </w:p>
    <w:p w:rsidR="00BC1778" w:rsidRDefault="00755E11" w:rsidP="00755E11">
      <w:pPr>
        <w:autoSpaceDE w:val="0"/>
        <w:autoSpaceDN w:val="0"/>
        <w:adjustRightInd w:val="0"/>
        <w:spacing w:after="0" w:line="240" w:lineRule="auto"/>
        <w:rPr>
          <w:rFonts w:ascii="Calibri" w:hAnsi="Calibri" w:cs="Calibri"/>
          <w:sz w:val="24"/>
          <w:szCs w:val="24"/>
        </w:rPr>
      </w:pPr>
      <w:r>
        <w:rPr>
          <w:rFonts w:ascii="Calibri" w:hAnsi="Calibri" w:cs="Calibri"/>
          <w:sz w:val="24"/>
          <w:szCs w:val="24"/>
        </w:rPr>
        <w:t>Revenue and expense accounts are closed at the end of an accounti</w:t>
      </w:r>
      <w:r>
        <w:rPr>
          <w:rFonts w:ascii="Calibri" w:hAnsi="Calibri" w:cs="Calibri"/>
          <w:sz w:val="24"/>
          <w:szCs w:val="24"/>
        </w:rPr>
        <w:t xml:space="preserve">ng cycle and a new cycle begins </w:t>
      </w:r>
      <w:r>
        <w:rPr>
          <w:rFonts w:ascii="Calibri" w:hAnsi="Calibri" w:cs="Calibri"/>
          <w:sz w:val="24"/>
          <w:szCs w:val="24"/>
        </w:rPr>
        <w:t>with zero carry forward balances in accounts.</w:t>
      </w:r>
    </w:p>
    <w:p w:rsidR="00BC1778" w:rsidRDefault="00BC1778" w:rsidP="00755E11">
      <w:pPr>
        <w:autoSpaceDE w:val="0"/>
        <w:autoSpaceDN w:val="0"/>
        <w:adjustRightInd w:val="0"/>
        <w:spacing w:after="0" w:line="240" w:lineRule="auto"/>
        <w:rPr>
          <w:rFonts w:ascii="Calibri" w:hAnsi="Calibri" w:cs="Calibri"/>
          <w:sz w:val="24"/>
          <w:szCs w:val="24"/>
        </w:rPr>
      </w:pPr>
    </w:p>
    <w:p w:rsidR="00BC1778" w:rsidRDefault="00BC1778" w:rsidP="00755E11">
      <w:pPr>
        <w:autoSpaceDE w:val="0"/>
        <w:autoSpaceDN w:val="0"/>
        <w:adjustRightInd w:val="0"/>
        <w:spacing w:after="0" w:line="240" w:lineRule="auto"/>
        <w:rPr>
          <w:rFonts w:ascii="Calibri" w:hAnsi="Calibri" w:cs="Calibri"/>
          <w:sz w:val="24"/>
          <w:szCs w:val="24"/>
        </w:rPr>
      </w:pPr>
      <w:r>
        <w:rPr>
          <w:rFonts w:ascii="Calibri" w:hAnsi="Calibri" w:cs="Calibri"/>
          <w:sz w:val="24"/>
          <w:szCs w:val="24"/>
        </w:rPr>
        <w:t>Activity</w:t>
      </w:r>
    </w:p>
    <w:p w:rsidR="00BC1778" w:rsidRDefault="00BC1778" w:rsidP="00755E11">
      <w:pPr>
        <w:autoSpaceDE w:val="0"/>
        <w:autoSpaceDN w:val="0"/>
        <w:adjustRightInd w:val="0"/>
        <w:spacing w:after="0" w:line="240" w:lineRule="auto"/>
        <w:rPr>
          <w:rFonts w:ascii="Calibri" w:hAnsi="Calibri" w:cs="Calibri"/>
          <w:sz w:val="24"/>
          <w:szCs w:val="24"/>
        </w:rPr>
      </w:pPr>
    </w:p>
    <w:p w:rsidR="00BC1778" w:rsidRDefault="00BC1778" w:rsidP="00BC177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Activity involved in organisation</w:t>
      </w:r>
      <w:bookmarkStart w:id="0" w:name="_GoBack"/>
      <w:bookmarkEnd w:id="0"/>
    </w:p>
    <w:p w:rsidR="00BC1778" w:rsidRDefault="00BC1778" w:rsidP="00BC1778">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EE7D31"/>
          <w:sz w:val="24"/>
          <w:szCs w:val="24"/>
        </w:rPr>
        <w:t xml:space="preserve">1. </w:t>
      </w:r>
      <w:r>
        <w:rPr>
          <w:rFonts w:ascii="Calibri" w:hAnsi="Calibri" w:cs="Calibri"/>
          <w:color w:val="000000"/>
          <w:sz w:val="24"/>
          <w:szCs w:val="24"/>
        </w:rPr>
        <w:t>Identifying financial business transactions/events</w:t>
      </w:r>
    </w:p>
    <w:p w:rsidR="00BC1778" w:rsidRDefault="00BC1778" w:rsidP="00BC1778">
      <w:pPr>
        <w:autoSpaceDE w:val="0"/>
        <w:autoSpaceDN w:val="0"/>
        <w:adjustRightInd w:val="0"/>
        <w:spacing w:after="0" w:line="240" w:lineRule="auto"/>
        <w:rPr>
          <w:rFonts w:ascii="Calibri" w:hAnsi="Calibri" w:cs="Calibri"/>
          <w:color w:val="000000"/>
          <w:sz w:val="24"/>
          <w:szCs w:val="24"/>
        </w:rPr>
      </w:pPr>
    </w:p>
    <w:p w:rsidR="00BC1778" w:rsidRDefault="00BC1778" w:rsidP="00BC1778">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EE7D31"/>
          <w:sz w:val="24"/>
          <w:szCs w:val="24"/>
        </w:rPr>
        <w:lastRenderedPageBreak/>
        <w:t xml:space="preserve">2. </w:t>
      </w:r>
      <w:r>
        <w:rPr>
          <w:rFonts w:ascii="Calibri" w:hAnsi="Calibri" w:cs="Calibri"/>
          <w:color w:val="000000"/>
          <w:sz w:val="24"/>
          <w:szCs w:val="24"/>
        </w:rPr>
        <w:t>Measuring transactions/events</w:t>
      </w:r>
    </w:p>
    <w:p w:rsidR="00BC1778" w:rsidRDefault="00BC1778" w:rsidP="00BC1778">
      <w:pPr>
        <w:autoSpaceDE w:val="0"/>
        <w:autoSpaceDN w:val="0"/>
        <w:adjustRightInd w:val="0"/>
        <w:spacing w:after="0" w:line="240" w:lineRule="auto"/>
        <w:rPr>
          <w:rFonts w:ascii="Calibri" w:hAnsi="Calibri" w:cs="Calibri"/>
          <w:color w:val="000000"/>
          <w:sz w:val="24"/>
          <w:szCs w:val="24"/>
        </w:rPr>
      </w:pPr>
    </w:p>
    <w:p w:rsidR="00BC1778" w:rsidRDefault="00BC1778" w:rsidP="00BC1778">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EE7D31"/>
          <w:sz w:val="24"/>
          <w:szCs w:val="24"/>
        </w:rPr>
        <w:t xml:space="preserve">3. </w:t>
      </w:r>
      <w:r>
        <w:rPr>
          <w:rFonts w:ascii="Calibri" w:hAnsi="Calibri" w:cs="Calibri"/>
          <w:color w:val="000000"/>
          <w:sz w:val="24"/>
          <w:szCs w:val="24"/>
        </w:rPr>
        <w:t>Recording transactions/events, also known as journal entry</w:t>
      </w:r>
    </w:p>
    <w:p w:rsidR="00BC1778" w:rsidRDefault="00BC1778" w:rsidP="00BC1778">
      <w:pPr>
        <w:autoSpaceDE w:val="0"/>
        <w:autoSpaceDN w:val="0"/>
        <w:adjustRightInd w:val="0"/>
        <w:spacing w:after="0" w:line="240" w:lineRule="auto"/>
        <w:rPr>
          <w:rFonts w:ascii="Calibri" w:hAnsi="Calibri" w:cs="Calibri"/>
          <w:color w:val="000000"/>
          <w:sz w:val="24"/>
          <w:szCs w:val="24"/>
        </w:rPr>
      </w:pPr>
    </w:p>
    <w:p w:rsidR="00BC1778" w:rsidRDefault="00BC1778" w:rsidP="00BC1778">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EE7D31"/>
          <w:sz w:val="24"/>
          <w:szCs w:val="24"/>
        </w:rPr>
        <w:t xml:space="preserve">4. </w:t>
      </w:r>
      <w:r>
        <w:rPr>
          <w:rFonts w:ascii="Calibri" w:hAnsi="Calibri" w:cs="Calibri"/>
          <w:color w:val="000000"/>
          <w:sz w:val="24"/>
          <w:szCs w:val="24"/>
        </w:rPr>
        <w:t>Classifying transactions/events, also called ledger entries.</w:t>
      </w:r>
    </w:p>
    <w:p w:rsidR="00BC1778" w:rsidRDefault="00BC1778" w:rsidP="00BC1778">
      <w:pPr>
        <w:autoSpaceDE w:val="0"/>
        <w:autoSpaceDN w:val="0"/>
        <w:adjustRightInd w:val="0"/>
        <w:spacing w:after="0" w:line="240" w:lineRule="auto"/>
        <w:rPr>
          <w:rFonts w:ascii="Calibri" w:hAnsi="Calibri" w:cs="Calibri"/>
          <w:color w:val="000000"/>
          <w:sz w:val="24"/>
          <w:szCs w:val="24"/>
        </w:rPr>
      </w:pPr>
    </w:p>
    <w:p w:rsidR="00BC1778" w:rsidRDefault="00BC1778" w:rsidP="00BC1778">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EE7D31"/>
          <w:sz w:val="24"/>
          <w:szCs w:val="24"/>
        </w:rPr>
        <w:t xml:space="preserve">5. </w:t>
      </w:r>
      <w:r>
        <w:rPr>
          <w:rFonts w:ascii="Calibri" w:hAnsi="Calibri" w:cs="Calibri"/>
          <w:color w:val="000000"/>
          <w:sz w:val="24"/>
          <w:szCs w:val="24"/>
        </w:rPr>
        <w:t>Summarizing transactions/events in the form of trial balance</w:t>
      </w:r>
      <w:r>
        <w:rPr>
          <w:rFonts w:ascii="Calibri" w:hAnsi="Calibri" w:cs="Calibri"/>
          <w:color w:val="000000"/>
          <w:sz w:val="24"/>
          <w:szCs w:val="24"/>
        </w:rPr>
        <w:t xml:space="preserve">, income statements and balance </w:t>
      </w:r>
      <w:r>
        <w:rPr>
          <w:rFonts w:ascii="Calibri" w:hAnsi="Calibri" w:cs="Calibri"/>
          <w:color w:val="000000"/>
          <w:sz w:val="24"/>
          <w:szCs w:val="24"/>
        </w:rPr>
        <w:t>sheets.</w:t>
      </w:r>
    </w:p>
    <w:p w:rsidR="00BC1778" w:rsidRDefault="00BC1778" w:rsidP="00BC1778">
      <w:pPr>
        <w:autoSpaceDE w:val="0"/>
        <w:autoSpaceDN w:val="0"/>
        <w:adjustRightInd w:val="0"/>
        <w:spacing w:after="0" w:line="240" w:lineRule="auto"/>
        <w:rPr>
          <w:rFonts w:ascii="Calibri" w:hAnsi="Calibri" w:cs="Calibri"/>
          <w:color w:val="000000"/>
          <w:sz w:val="24"/>
          <w:szCs w:val="24"/>
        </w:rPr>
      </w:pPr>
    </w:p>
    <w:p w:rsidR="00BC1778" w:rsidRDefault="00BC1778" w:rsidP="00BC1778">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EE7D31"/>
          <w:sz w:val="24"/>
          <w:szCs w:val="24"/>
        </w:rPr>
        <w:t xml:space="preserve">6. </w:t>
      </w:r>
      <w:r>
        <w:rPr>
          <w:rFonts w:ascii="Calibri" w:hAnsi="Calibri" w:cs="Calibri"/>
          <w:color w:val="000000"/>
          <w:sz w:val="24"/>
          <w:szCs w:val="24"/>
        </w:rPr>
        <w:t>Analyzing and interpreting transactions/events.</w:t>
      </w:r>
    </w:p>
    <w:p w:rsidR="00BC1778" w:rsidRDefault="00BC1778" w:rsidP="00BC1778">
      <w:pPr>
        <w:autoSpaceDE w:val="0"/>
        <w:autoSpaceDN w:val="0"/>
        <w:adjustRightInd w:val="0"/>
        <w:spacing w:after="0" w:line="240" w:lineRule="auto"/>
        <w:rPr>
          <w:rFonts w:ascii="Calibri" w:hAnsi="Calibri" w:cs="Calibri"/>
          <w:color w:val="000000"/>
          <w:sz w:val="24"/>
          <w:szCs w:val="24"/>
        </w:rPr>
      </w:pPr>
    </w:p>
    <w:p w:rsidR="00BC1778" w:rsidRPr="00755E11" w:rsidRDefault="00BC1778" w:rsidP="00BC1778">
      <w:pPr>
        <w:autoSpaceDE w:val="0"/>
        <w:autoSpaceDN w:val="0"/>
        <w:adjustRightInd w:val="0"/>
        <w:spacing w:after="0" w:line="240" w:lineRule="auto"/>
        <w:rPr>
          <w:rFonts w:ascii="Calibri" w:hAnsi="Calibri" w:cs="Calibri"/>
          <w:sz w:val="24"/>
          <w:szCs w:val="24"/>
        </w:rPr>
      </w:pPr>
      <w:r>
        <w:rPr>
          <w:rFonts w:ascii="Calibri,Bold" w:hAnsi="Calibri,Bold" w:cs="Calibri,Bold"/>
          <w:b/>
          <w:bCs/>
          <w:color w:val="EE7D31"/>
          <w:sz w:val="24"/>
          <w:szCs w:val="24"/>
        </w:rPr>
        <w:t xml:space="preserve">7. </w:t>
      </w:r>
      <w:r>
        <w:rPr>
          <w:rFonts w:ascii="Calibri" w:hAnsi="Calibri" w:cs="Calibri"/>
          <w:color w:val="000000"/>
          <w:sz w:val="24"/>
          <w:szCs w:val="24"/>
        </w:rPr>
        <w:t>Reporting and communicating transactions/ events.</w:t>
      </w:r>
    </w:p>
    <w:sectPr w:rsidR="00BC1778" w:rsidRPr="00755E11" w:rsidSect="00D767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A201E"/>
    <w:multiLevelType w:val="hybridMultilevel"/>
    <w:tmpl w:val="8ADCA4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3BA7F58"/>
    <w:multiLevelType w:val="hybridMultilevel"/>
    <w:tmpl w:val="2B4C7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8A3FCF"/>
    <w:multiLevelType w:val="hybridMultilevel"/>
    <w:tmpl w:val="144649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5E1D93"/>
    <w:multiLevelType w:val="hybridMultilevel"/>
    <w:tmpl w:val="7BB8A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AA6D39"/>
    <w:multiLevelType w:val="hybridMultilevel"/>
    <w:tmpl w:val="29646B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738B6DE6"/>
    <w:multiLevelType w:val="multilevel"/>
    <w:tmpl w:val="1F76735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2"/>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237"/>
    <w:rsid w:val="00512969"/>
    <w:rsid w:val="005F1383"/>
    <w:rsid w:val="00755E11"/>
    <w:rsid w:val="008F41A1"/>
    <w:rsid w:val="00941E94"/>
    <w:rsid w:val="00953A8B"/>
    <w:rsid w:val="00BC1778"/>
    <w:rsid w:val="00CD1237"/>
    <w:rsid w:val="00D76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1237"/>
    <w:pPr>
      <w:ind w:left="720"/>
      <w:contextualSpacing/>
    </w:pPr>
  </w:style>
  <w:style w:type="paragraph" w:styleId="BalloonText">
    <w:name w:val="Balloon Text"/>
    <w:basedOn w:val="Normal"/>
    <w:link w:val="BalloonTextChar"/>
    <w:uiPriority w:val="99"/>
    <w:semiHidden/>
    <w:unhideWhenUsed/>
    <w:rsid w:val="005F1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13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1237"/>
    <w:pPr>
      <w:ind w:left="720"/>
      <w:contextualSpacing/>
    </w:pPr>
  </w:style>
  <w:style w:type="paragraph" w:styleId="BalloonText">
    <w:name w:val="Balloon Text"/>
    <w:basedOn w:val="Normal"/>
    <w:link w:val="BalloonTextChar"/>
    <w:uiPriority w:val="99"/>
    <w:semiHidden/>
    <w:unhideWhenUsed/>
    <w:rsid w:val="005F1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13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microsoft.com/office/2007/relationships/stylesWithEffects" Target="stylesWithEffect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FA94D9-BB94-4897-82E3-C0CC17E8D8A4}" type="doc">
      <dgm:prSet loTypeId="urn:microsoft.com/office/officeart/2005/8/layout/cycle5" loCatId="cycle" qsTypeId="urn:microsoft.com/office/officeart/2005/8/quickstyle/3d1" qsCatId="3D" csTypeId="urn:microsoft.com/office/officeart/2005/8/colors/colorful1" csCatId="colorful" phldr="1"/>
      <dgm:spPr/>
      <dgm:t>
        <a:bodyPr/>
        <a:lstStyle/>
        <a:p>
          <a:endParaRPr lang="en-GB"/>
        </a:p>
      </dgm:t>
    </dgm:pt>
    <dgm:pt modelId="{BB9EE0A3-6D7C-4BF0-A821-C2C22BDD84A4}">
      <dgm:prSet phldrT="[Text]"/>
      <dgm:spPr/>
      <dgm:t>
        <a:bodyPr/>
        <a:lstStyle/>
        <a:p>
          <a:r>
            <a:rPr lang="en-GB"/>
            <a:t>1.Transaction</a:t>
          </a:r>
        </a:p>
      </dgm:t>
    </dgm:pt>
    <dgm:pt modelId="{EDA1C431-0F50-4606-9C04-4BAC08D3BCAE}" type="parTrans" cxnId="{106B4692-93DF-4776-B427-389F0CB2C320}">
      <dgm:prSet/>
      <dgm:spPr/>
      <dgm:t>
        <a:bodyPr/>
        <a:lstStyle/>
        <a:p>
          <a:endParaRPr lang="en-GB"/>
        </a:p>
      </dgm:t>
    </dgm:pt>
    <dgm:pt modelId="{A7F269CB-8B0A-4D51-B35C-CB2D55BA7864}" type="sibTrans" cxnId="{106B4692-93DF-4776-B427-389F0CB2C320}">
      <dgm:prSet/>
      <dgm:spPr/>
      <dgm:t>
        <a:bodyPr/>
        <a:lstStyle/>
        <a:p>
          <a:endParaRPr lang="en-GB"/>
        </a:p>
      </dgm:t>
    </dgm:pt>
    <dgm:pt modelId="{933EAB6B-87F4-405A-89E7-3A82447429B3}">
      <dgm:prSet phldrT="[Text]"/>
      <dgm:spPr/>
      <dgm:t>
        <a:bodyPr/>
        <a:lstStyle/>
        <a:p>
          <a:r>
            <a:rPr lang="en-GB"/>
            <a:t>5.Worksheet</a:t>
          </a:r>
        </a:p>
      </dgm:t>
    </dgm:pt>
    <dgm:pt modelId="{DF2CF7A1-66CA-4407-9647-33C82DC7F5F2}" type="parTrans" cxnId="{E22A8BFA-1A4B-475B-AA6C-F1ADA96F22A2}">
      <dgm:prSet/>
      <dgm:spPr/>
      <dgm:t>
        <a:bodyPr/>
        <a:lstStyle/>
        <a:p>
          <a:endParaRPr lang="en-GB"/>
        </a:p>
      </dgm:t>
    </dgm:pt>
    <dgm:pt modelId="{F2992D91-9925-4903-A3BD-D68D3A189B71}" type="sibTrans" cxnId="{E22A8BFA-1A4B-475B-AA6C-F1ADA96F22A2}">
      <dgm:prSet/>
      <dgm:spPr/>
      <dgm:t>
        <a:bodyPr/>
        <a:lstStyle/>
        <a:p>
          <a:endParaRPr lang="en-GB"/>
        </a:p>
      </dgm:t>
    </dgm:pt>
    <dgm:pt modelId="{57C9C8BE-8DB4-48F7-B3B2-BCC18FDEFB17}">
      <dgm:prSet phldrT="[Text]"/>
      <dgm:spPr/>
      <dgm:t>
        <a:bodyPr/>
        <a:lstStyle/>
        <a:p>
          <a:r>
            <a:rPr lang="en-GB"/>
            <a:t>6.Adjusting Journal Entries</a:t>
          </a:r>
        </a:p>
      </dgm:t>
    </dgm:pt>
    <dgm:pt modelId="{11906EAC-9AC9-447D-9BD1-02B9A8607564}" type="parTrans" cxnId="{3C9F90C6-3B98-4EA9-83AC-B5B8E19CD54C}">
      <dgm:prSet/>
      <dgm:spPr/>
      <dgm:t>
        <a:bodyPr/>
        <a:lstStyle/>
        <a:p>
          <a:endParaRPr lang="en-GB"/>
        </a:p>
      </dgm:t>
    </dgm:pt>
    <dgm:pt modelId="{2149BB2E-FB59-4384-9884-E80F27AB4C0D}" type="sibTrans" cxnId="{3C9F90C6-3B98-4EA9-83AC-B5B8E19CD54C}">
      <dgm:prSet/>
      <dgm:spPr/>
      <dgm:t>
        <a:bodyPr/>
        <a:lstStyle/>
        <a:p>
          <a:endParaRPr lang="en-GB"/>
        </a:p>
      </dgm:t>
    </dgm:pt>
    <dgm:pt modelId="{BDC00F3B-098B-47AE-B8CD-26AD973F3524}">
      <dgm:prSet phldrT="[Text]"/>
      <dgm:spPr/>
      <dgm:t>
        <a:bodyPr/>
        <a:lstStyle/>
        <a:p>
          <a:r>
            <a:rPr lang="en-GB"/>
            <a:t>7.Financial Statement</a:t>
          </a:r>
        </a:p>
      </dgm:t>
    </dgm:pt>
    <dgm:pt modelId="{FB6D1C5C-5279-4B6C-8DE8-4D7C451A2D16}" type="parTrans" cxnId="{6497F780-C399-4852-91FE-E1DF881718FB}">
      <dgm:prSet/>
      <dgm:spPr/>
      <dgm:t>
        <a:bodyPr/>
        <a:lstStyle/>
        <a:p>
          <a:endParaRPr lang="en-GB"/>
        </a:p>
      </dgm:t>
    </dgm:pt>
    <dgm:pt modelId="{810A66AA-AFE8-4474-8FD2-58B6E2005D4A}" type="sibTrans" cxnId="{6497F780-C399-4852-91FE-E1DF881718FB}">
      <dgm:prSet/>
      <dgm:spPr/>
      <dgm:t>
        <a:bodyPr/>
        <a:lstStyle/>
        <a:p>
          <a:endParaRPr lang="en-GB"/>
        </a:p>
      </dgm:t>
    </dgm:pt>
    <dgm:pt modelId="{B927CAFD-3764-495E-83A9-BB7E7D120222}">
      <dgm:prSet phldrT="[Text]"/>
      <dgm:spPr/>
      <dgm:t>
        <a:bodyPr/>
        <a:lstStyle/>
        <a:p>
          <a:r>
            <a:rPr lang="en-GB"/>
            <a:t>8.Closing the books</a:t>
          </a:r>
        </a:p>
      </dgm:t>
    </dgm:pt>
    <dgm:pt modelId="{018B7E16-9AE6-4325-BC8B-4D636450A5D4}" type="parTrans" cxnId="{340E3DB5-52BB-4947-A3B2-4787DA32E0A7}">
      <dgm:prSet/>
      <dgm:spPr/>
      <dgm:t>
        <a:bodyPr/>
        <a:lstStyle/>
        <a:p>
          <a:endParaRPr lang="en-GB"/>
        </a:p>
      </dgm:t>
    </dgm:pt>
    <dgm:pt modelId="{D1AF1291-5F3A-42B5-9E3D-441E23D52828}" type="sibTrans" cxnId="{340E3DB5-52BB-4947-A3B2-4787DA32E0A7}">
      <dgm:prSet/>
      <dgm:spPr/>
      <dgm:t>
        <a:bodyPr/>
        <a:lstStyle/>
        <a:p>
          <a:endParaRPr lang="en-GB"/>
        </a:p>
      </dgm:t>
    </dgm:pt>
    <dgm:pt modelId="{C1895286-FA4F-4B91-8112-FD703D966E5E}">
      <dgm:prSet/>
      <dgm:spPr/>
      <dgm:t>
        <a:bodyPr/>
        <a:lstStyle/>
        <a:p>
          <a:r>
            <a:rPr lang="en-GB"/>
            <a:t>2. Journal</a:t>
          </a:r>
        </a:p>
      </dgm:t>
    </dgm:pt>
    <dgm:pt modelId="{27A8CBD2-9117-4929-8639-7245E28D394B}" type="parTrans" cxnId="{99772611-7D15-42D5-90BE-5A8853863F10}">
      <dgm:prSet/>
      <dgm:spPr/>
      <dgm:t>
        <a:bodyPr/>
        <a:lstStyle/>
        <a:p>
          <a:endParaRPr lang="en-GB"/>
        </a:p>
      </dgm:t>
    </dgm:pt>
    <dgm:pt modelId="{B84562B0-1B12-4F12-850A-0BECF0911CE9}" type="sibTrans" cxnId="{99772611-7D15-42D5-90BE-5A8853863F10}">
      <dgm:prSet/>
      <dgm:spPr/>
      <dgm:t>
        <a:bodyPr/>
        <a:lstStyle/>
        <a:p>
          <a:endParaRPr lang="en-GB"/>
        </a:p>
      </dgm:t>
    </dgm:pt>
    <dgm:pt modelId="{B70E62CA-89DA-4535-B37C-09C29FF0B1B1}">
      <dgm:prSet/>
      <dgm:spPr/>
      <dgm:t>
        <a:bodyPr/>
        <a:lstStyle/>
        <a:p>
          <a:r>
            <a:rPr lang="en-GB"/>
            <a:t>3.Posting</a:t>
          </a:r>
        </a:p>
      </dgm:t>
    </dgm:pt>
    <dgm:pt modelId="{0BFCB2B5-7E6A-4102-8E82-08CEA8FFC357}" type="parTrans" cxnId="{39D0CB31-E576-4659-9FB2-EB4BBB7EFE05}">
      <dgm:prSet/>
      <dgm:spPr/>
      <dgm:t>
        <a:bodyPr/>
        <a:lstStyle/>
        <a:p>
          <a:endParaRPr lang="en-GB"/>
        </a:p>
      </dgm:t>
    </dgm:pt>
    <dgm:pt modelId="{EAF92741-993B-4215-9EBA-4E93AF53D6FF}" type="sibTrans" cxnId="{39D0CB31-E576-4659-9FB2-EB4BBB7EFE05}">
      <dgm:prSet/>
      <dgm:spPr/>
      <dgm:t>
        <a:bodyPr/>
        <a:lstStyle/>
        <a:p>
          <a:endParaRPr lang="en-GB"/>
        </a:p>
      </dgm:t>
    </dgm:pt>
    <dgm:pt modelId="{C6A5EDF8-72AC-4665-AE52-3A74DE80CACE}">
      <dgm:prSet/>
      <dgm:spPr/>
      <dgm:t>
        <a:bodyPr/>
        <a:lstStyle/>
        <a:p>
          <a:r>
            <a:rPr lang="en-GB"/>
            <a:t>4.Trial Balance</a:t>
          </a:r>
        </a:p>
      </dgm:t>
    </dgm:pt>
    <dgm:pt modelId="{5C65A27F-24E4-427C-A67E-7E97F7205BF9}" type="parTrans" cxnId="{6215D715-EEE7-449D-BDFB-56AEA052F999}">
      <dgm:prSet/>
      <dgm:spPr/>
      <dgm:t>
        <a:bodyPr/>
        <a:lstStyle/>
        <a:p>
          <a:endParaRPr lang="en-GB"/>
        </a:p>
      </dgm:t>
    </dgm:pt>
    <dgm:pt modelId="{6FA00858-105A-4B2C-B607-0F13FAD698DC}" type="sibTrans" cxnId="{6215D715-EEE7-449D-BDFB-56AEA052F999}">
      <dgm:prSet/>
      <dgm:spPr/>
      <dgm:t>
        <a:bodyPr/>
        <a:lstStyle/>
        <a:p>
          <a:endParaRPr lang="en-GB"/>
        </a:p>
      </dgm:t>
    </dgm:pt>
    <dgm:pt modelId="{4AEECDBE-FC57-470A-ADF9-B3FF01B16BDB}" type="pres">
      <dgm:prSet presAssocID="{FCFA94D9-BB94-4897-82E3-C0CC17E8D8A4}" presName="cycle" presStyleCnt="0">
        <dgm:presLayoutVars>
          <dgm:dir/>
          <dgm:resizeHandles val="exact"/>
        </dgm:presLayoutVars>
      </dgm:prSet>
      <dgm:spPr/>
    </dgm:pt>
    <dgm:pt modelId="{59307C6C-E33D-4F9C-9070-A9435CD5F529}" type="pres">
      <dgm:prSet presAssocID="{BB9EE0A3-6D7C-4BF0-A821-C2C22BDD84A4}" presName="node" presStyleLbl="node1" presStyleIdx="0" presStyleCnt="8" custScaleX="135303">
        <dgm:presLayoutVars>
          <dgm:bulletEnabled val="1"/>
        </dgm:presLayoutVars>
      </dgm:prSet>
      <dgm:spPr/>
      <dgm:t>
        <a:bodyPr/>
        <a:lstStyle/>
        <a:p>
          <a:endParaRPr lang="en-GB"/>
        </a:p>
      </dgm:t>
    </dgm:pt>
    <dgm:pt modelId="{6DA51635-FEBB-4BA8-BC31-3FCDBA304216}" type="pres">
      <dgm:prSet presAssocID="{BB9EE0A3-6D7C-4BF0-A821-C2C22BDD84A4}" presName="spNode" presStyleCnt="0"/>
      <dgm:spPr/>
    </dgm:pt>
    <dgm:pt modelId="{9AB171EF-338D-489C-949D-B3ADFFFCC330}" type="pres">
      <dgm:prSet presAssocID="{A7F269CB-8B0A-4D51-B35C-CB2D55BA7864}" presName="sibTrans" presStyleLbl="sibTrans1D1" presStyleIdx="0" presStyleCnt="8"/>
      <dgm:spPr/>
    </dgm:pt>
    <dgm:pt modelId="{8CC7BE7E-B65F-4414-B613-6A7ACE499BA3}" type="pres">
      <dgm:prSet presAssocID="{C1895286-FA4F-4B91-8112-FD703D966E5E}" presName="node" presStyleLbl="node1" presStyleIdx="1" presStyleCnt="8">
        <dgm:presLayoutVars>
          <dgm:bulletEnabled val="1"/>
        </dgm:presLayoutVars>
      </dgm:prSet>
      <dgm:spPr/>
      <dgm:t>
        <a:bodyPr/>
        <a:lstStyle/>
        <a:p>
          <a:endParaRPr lang="en-GB"/>
        </a:p>
      </dgm:t>
    </dgm:pt>
    <dgm:pt modelId="{9CBD8C7B-496E-487D-92BA-3490600B4819}" type="pres">
      <dgm:prSet presAssocID="{C1895286-FA4F-4B91-8112-FD703D966E5E}" presName="spNode" presStyleCnt="0"/>
      <dgm:spPr/>
    </dgm:pt>
    <dgm:pt modelId="{BD9421E6-03DE-487B-8328-D671FBD12BD7}" type="pres">
      <dgm:prSet presAssocID="{B84562B0-1B12-4F12-850A-0BECF0911CE9}" presName="sibTrans" presStyleLbl="sibTrans1D1" presStyleIdx="1" presStyleCnt="8"/>
      <dgm:spPr/>
    </dgm:pt>
    <dgm:pt modelId="{42C252F5-1CFD-4A73-A3E9-346EFA718775}" type="pres">
      <dgm:prSet presAssocID="{B70E62CA-89DA-4535-B37C-09C29FF0B1B1}" presName="node" presStyleLbl="node1" presStyleIdx="2" presStyleCnt="8">
        <dgm:presLayoutVars>
          <dgm:bulletEnabled val="1"/>
        </dgm:presLayoutVars>
      </dgm:prSet>
      <dgm:spPr/>
    </dgm:pt>
    <dgm:pt modelId="{05207AAE-8A54-4968-8815-4C67E7476092}" type="pres">
      <dgm:prSet presAssocID="{B70E62CA-89DA-4535-B37C-09C29FF0B1B1}" presName="spNode" presStyleCnt="0"/>
      <dgm:spPr/>
    </dgm:pt>
    <dgm:pt modelId="{3DF7872E-20FA-428B-8110-0AA6EBD81E16}" type="pres">
      <dgm:prSet presAssocID="{EAF92741-993B-4215-9EBA-4E93AF53D6FF}" presName="sibTrans" presStyleLbl="sibTrans1D1" presStyleIdx="2" presStyleCnt="8"/>
      <dgm:spPr/>
    </dgm:pt>
    <dgm:pt modelId="{CDD580F4-5965-497B-8FB8-3D55DAB7F482}" type="pres">
      <dgm:prSet presAssocID="{C6A5EDF8-72AC-4665-AE52-3A74DE80CACE}" presName="node" presStyleLbl="node1" presStyleIdx="3" presStyleCnt="8">
        <dgm:presLayoutVars>
          <dgm:bulletEnabled val="1"/>
        </dgm:presLayoutVars>
      </dgm:prSet>
      <dgm:spPr/>
    </dgm:pt>
    <dgm:pt modelId="{5E8EB526-72E3-419E-BEA5-BF06AB5403C3}" type="pres">
      <dgm:prSet presAssocID="{C6A5EDF8-72AC-4665-AE52-3A74DE80CACE}" presName="spNode" presStyleCnt="0"/>
      <dgm:spPr/>
    </dgm:pt>
    <dgm:pt modelId="{38EE9607-E880-4223-A727-22B815656B84}" type="pres">
      <dgm:prSet presAssocID="{6FA00858-105A-4B2C-B607-0F13FAD698DC}" presName="sibTrans" presStyleLbl="sibTrans1D1" presStyleIdx="3" presStyleCnt="8"/>
      <dgm:spPr/>
    </dgm:pt>
    <dgm:pt modelId="{E1DA9B08-08F0-4489-BC87-0DEB5D2EC110}" type="pres">
      <dgm:prSet presAssocID="{933EAB6B-87F4-405A-89E7-3A82447429B3}" presName="node" presStyleLbl="node1" presStyleIdx="4" presStyleCnt="8">
        <dgm:presLayoutVars>
          <dgm:bulletEnabled val="1"/>
        </dgm:presLayoutVars>
      </dgm:prSet>
      <dgm:spPr/>
    </dgm:pt>
    <dgm:pt modelId="{8CB4B75A-C445-4503-8C20-63D082E9B282}" type="pres">
      <dgm:prSet presAssocID="{933EAB6B-87F4-405A-89E7-3A82447429B3}" presName="spNode" presStyleCnt="0"/>
      <dgm:spPr/>
    </dgm:pt>
    <dgm:pt modelId="{50321A26-DB31-4675-A445-933159784862}" type="pres">
      <dgm:prSet presAssocID="{F2992D91-9925-4903-A3BD-D68D3A189B71}" presName="sibTrans" presStyleLbl="sibTrans1D1" presStyleIdx="4" presStyleCnt="8"/>
      <dgm:spPr/>
    </dgm:pt>
    <dgm:pt modelId="{09661CCD-811E-4CBA-9044-36DA5F064049}" type="pres">
      <dgm:prSet presAssocID="{57C9C8BE-8DB4-48F7-B3B2-BCC18FDEFB17}" presName="node" presStyleLbl="node1" presStyleIdx="5" presStyleCnt="8" custScaleX="160961">
        <dgm:presLayoutVars>
          <dgm:bulletEnabled val="1"/>
        </dgm:presLayoutVars>
      </dgm:prSet>
      <dgm:spPr/>
      <dgm:t>
        <a:bodyPr/>
        <a:lstStyle/>
        <a:p>
          <a:endParaRPr lang="en-GB"/>
        </a:p>
      </dgm:t>
    </dgm:pt>
    <dgm:pt modelId="{72C63FE5-E2E7-41C9-8F3B-532E418F5A9F}" type="pres">
      <dgm:prSet presAssocID="{57C9C8BE-8DB4-48F7-B3B2-BCC18FDEFB17}" presName="spNode" presStyleCnt="0"/>
      <dgm:spPr/>
    </dgm:pt>
    <dgm:pt modelId="{328BB373-26F7-4B3B-805F-DA1CDC17B99F}" type="pres">
      <dgm:prSet presAssocID="{2149BB2E-FB59-4384-9884-E80F27AB4C0D}" presName="sibTrans" presStyleLbl="sibTrans1D1" presStyleIdx="5" presStyleCnt="8"/>
      <dgm:spPr/>
    </dgm:pt>
    <dgm:pt modelId="{E8FE307D-C934-4465-92A7-9D03AB63A3EC}" type="pres">
      <dgm:prSet presAssocID="{BDC00F3B-098B-47AE-B8CD-26AD973F3524}" presName="node" presStyleLbl="node1" presStyleIdx="6" presStyleCnt="8">
        <dgm:presLayoutVars>
          <dgm:bulletEnabled val="1"/>
        </dgm:presLayoutVars>
      </dgm:prSet>
      <dgm:spPr/>
    </dgm:pt>
    <dgm:pt modelId="{9541CE91-928D-448C-802A-D1766136E714}" type="pres">
      <dgm:prSet presAssocID="{BDC00F3B-098B-47AE-B8CD-26AD973F3524}" presName="spNode" presStyleCnt="0"/>
      <dgm:spPr/>
    </dgm:pt>
    <dgm:pt modelId="{C4EA897B-2D27-45E3-BDB8-F0A85B456C89}" type="pres">
      <dgm:prSet presAssocID="{810A66AA-AFE8-4474-8FD2-58B6E2005D4A}" presName="sibTrans" presStyleLbl="sibTrans1D1" presStyleIdx="6" presStyleCnt="8"/>
      <dgm:spPr/>
    </dgm:pt>
    <dgm:pt modelId="{C0BBF443-7856-4993-890D-0FF12FDF0D5D}" type="pres">
      <dgm:prSet presAssocID="{B927CAFD-3764-495E-83A9-BB7E7D120222}" presName="node" presStyleLbl="node1" presStyleIdx="7" presStyleCnt="8">
        <dgm:presLayoutVars>
          <dgm:bulletEnabled val="1"/>
        </dgm:presLayoutVars>
      </dgm:prSet>
      <dgm:spPr/>
      <dgm:t>
        <a:bodyPr/>
        <a:lstStyle/>
        <a:p>
          <a:endParaRPr lang="en-GB"/>
        </a:p>
      </dgm:t>
    </dgm:pt>
    <dgm:pt modelId="{1BEBDE14-DE46-4DAB-A7F3-F2F52D199062}" type="pres">
      <dgm:prSet presAssocID="{B927CAFD-3764-495E-83A9-BB7E7D120222}" presName="spNode" presStyleCnt="0"/>
      <dgm:spPr/>
    </dgm:pt>
    <dgm:pt modelId="{1168F5C5-F695-4DD3-A351-43DBA6ABE86C}" type="pres">
      <dgm:prSet presAssocID="{D1AF1291-5F3A-42B5-9E3D-441E23D52828}" presName="sibTrans" presStyleLbl="sibTrans1D1" presStyleIdx="7" presStyleCnt="8"/>
      <dgm:spPr/>
    </dgm:pt>
  </dgm:ptLst>
  <dgm:cxnLst>
    <dgm:cxn modelId="{106B4692-93DF-4776-B427-389F0CB2C320}" srcId="{FCFA94D9-BB94-4897-82E3-C0CC17E8D8A4}" destId="{BB9EE0A3-6D7C-4BF0-A821-C2C22BDD84A4}" srcOrd="0" destOrd="0" parTransId="{EDA1C431-0F50-4606-9C04-4BAC08D3BCAE}" sibTransId="{A7F269CB-8B0A-4D51-B35C-CB2D55BA7864}"/>
    <dgm:cxn modelId="{806F0CB5-ADC1-4609-B95C-339905202147}" type="presOf" srcId="{B70E62CA-89DA-4535-B37C-09C29FF0B1B1}" destId="{42C252F5-1CFD-4A73-A3E9-346EFA718775}" srcOrd="0" destOrd="0" presId="urn:microsoft.com/office/officeart/2005/8/layout/cycle5"/>
    <dgm:cxn modelId="{E22A8BFA-1A4B-475B-AA6C-F1ADA96F22A2}" srcId="{FCFA94D9-BB94-4897-82E3-C0CC17E8D8A4}" destId="{933EAB6B-87F4-405A-89E7-3A82447429B3}" srcOrd="4" destOrd="0" parTransId="{DF2CF7A1-66CA-4407-9647-33C82DC7F5F2}" sibTransId="{F2992D91-9925-4903-A3BD-D68D3A189B71}"/>
    <dgm:cxn modelId="{17617B7F-CEBE-4F5C-8F05-2F0F86EFC20E}" type="presOf" srcId="{D1AF1291-5F3A-42B5-9E3D-441E23D52828}" destId="{1168F5C5-F695-4DD3-A351-43DBA6ABE86C}" srcOrd="0" destOrd="0" presId="urn:microsoft.com/office/officeart/2005/8/layout/cycle5"/>
    <dgm:cxn modelId="{F2AF54E6-08CA-4791-B394-5D823D0BEC58}" type="presOf" srcId="{EAF92741-993B-4215-9EBA-4E93AF53D6FF}" destId="{3DF7872E-20FA-428B-8110-0AA6EBD81E16}" srcOrd="0" destOrd="0" presId="urn:microsoft.com/office/officeart/2005/8/layout/cycle5"/>
    <dgm:cxn modelId="{06B42135-607C-4776-BC90-8F2BA5CD7892}" type="presOf" srcId="{B927CAFD-3764-495E-83A9-BB7E7D120222}" destId="{C0BBF443-7856-4993-890D-0FF12FDF0D5D}" srcOrd="0" destOrd="0" presId="urn:microsoft.com/office/officeart/2005/8/layout/cycle5"/>
    <dgm:cxn modelId="{90B44980-538C-43C1-8C6A-6D833411D3B5}" type="presOf" srcId="{2149BB2E-FB59-4384-9884-E80F27AB4C0D}" destId="{328BB373-26F7-4B3B-805F-DA1CDC17B99F}" srcOrd="0" destOrd="0" presId="urn:microsoft.com/office/officeart/2005/8/layout/cycle5"/>
    <dgm:cxn modelId="{7825BA8F-0345-499C-9F08-3FF5DC24339E}" type="presOf" srcId="{F2992D91-9925-4903-A3BD-D68D3A189B71}" destId="{50321A26-DB31-4675-A445-933159784862}" srcOrd="0" destOrd="0" presId="urn:microsoft.com/office/officeart/2005/8/layout/cycle5"/>
    <dgm:cxn modelId="{99772611-7D15-42D5-90BE-5A8853863F10}" srcId="{FCFA94D9-BB94-4897-82E3-C0CC17E8D8A4}" destId="{C1895286-FA4F-4B91-8112-FD703D966E5E}" srcOrd="1" destOrd="0" parTransId="{27A8CBD2-9117-4929-8639-7245E28D394B}" sibTransId="{B84562B0-1B12-4F12-850A-0BECF0911CE9}"/>
    <dgm:cxn modelId="{269FD6D6-164A-415B-9EC9-6A8B52B33D44}" type="presOf" srcId="{FCFA94D9-BB94-4897-82E3-C0CC17E8D8A4}" destId="{4AEECDBE-FC57-470A-ADF9-B3FF01B16BDB}" srcOrd="0" destOrd="0" presId="urn:microsoft.com/office/officeart/2005/8/layout/cycle5"/>
    <dgm:cxn modelId="{FA43FEF9-8D94-40F6-8E9A-A195CEBB0608}" type="presOf" srcId="{C6A5EDF8-72AC-4665-AE52-3A74DE80CACE}" destId="{CDD580F4-5965-497B-8FB8-3D55DAB7F482}" srcOrd="0" destOrd="0" presId="urn:microsoft.com/office/officeart/2005/8/layout/cycle5"/>
    <dgm:cxn modelId="{9676FDBE-975C-46A5-A4F8-2FCDA03D575F}" type="presOf" srcId="{B84562B0-1B12-4F12-850A-0BECF0911CE9}" destId="{BD9421E6-03DE-487B-8328-D671FBD12BD7}" srcOrd="0" destOrd="0" presId="urn:microsoft.com/office/officeart/2005/8/layout/cycle5"/>
    <dgm:cxn modelId="{2BA491B6-0728-408D-9A26-FEC9C94DCAC3}" type="presOf" srcId="{BB9EE0A3-6D7C-4BF0-A821-C2C22BDD84A4}" destId="{59307C6C-E33D-4F9C-9070-A9435CD5F529}" srcOrd="0" destOrd="0" presId="urn:microsoft.com/office/officeart/2005/8/layout/cycle5"/>
    <dgm:cxn modelId="{6215D715-EEE7-449D-BDFB-56AEA052F999}" srcId="{FCFA94D9-BB94-4897-82E3-C0CC17E8D8A4}" destId="{C6A5EDF8-72AC-4665-AE52-3A74DE80CACE}" srcOrd="3" destOrd="0" parTransId="{5C65A27F-24E4-427C-A67E-7E97F7205BF9}" sibTransId="{6FA00858-105A-4B2C-B607-0F13FAD698DC}"/>
    <dgm:cxn modelId="{3F1356DD-E4A6-494A-9675-60D530917DA7}" type="presOf" srcId="{933EAB6B-87F4-405A-89E7-3A82447429B3}" destId="{E1DA9B08-08F0-4489-BC87-0DEB5D2EC110}" srcOrd="0" destOrd="0" presId="urn:microsoft.com/office/officeart/2005/8/layout/cycle5"/>
    <dgm:cxn modelId="{6497F780-C399-4852-91FE-E1DF881718FB}" srcId="{FCFA94D9-BB94-4897-82E3-C0CC17E8D8A4}" destId="{BDC00F3B-098B-47AE-B8CD-26AD973F3524}" srcOrd="6" destOrd="0" parTransId="{FB6D1C5C-5279-4B6C-8DE8-4D7C451A2D16}" sibTransId="{810A66AA-AFE8-4474-8FD2-58B6E2005D4A}"/>
    <dgm:cxn modelId="{94A6B5D3-D548-4B8D-A4DC-B5C81ECF605D}" type="presOf" srcId="{810A66AA-AFE8-4474-8FD2-58B6E2005D4A}" destId="{C4EA897B-2D27-45E3-BDB8-F0A85B456C89}" srcOrd="0" destOrd="0" presId="urn:microsoft.com/office/officeart/2005/8/layout/cycle5"/>
    <dgm:cxn modelId="{340E3DB5-52BB-4947-A3B2-4787DA32E0A7}" srcId="{FCFA94D9-BB94-4897-82E3-C0CC17E8D8A4}" destId="{B927CAFD-3764-495E-83A9-BB7E7D120222}" srcOrd="7" destOrd="0" parTransId="{018B7E16-9AE6-4325-BC8B-4D636450A5D4}" sibTransId="{D1AF1291-5F3A-42B5-9E3D-441E23D52828}"/>
    <dgm:cxn modelId="{194AA85A-E1DB-483F-BCC3-11C9329D1F9B}" type="presOf" srcId="{C1895286-FA4F-4B91-8112-FD703D966E5E}" destId="{8CC7BE7E-B65F-4414-B613-6A7ACE499BA3}" srcOrd="0" destOrd="0" presId="urn:microsoft.com/office/officeart/2005/8/layout/cycle5"/>
    <dgm:cxn modelId="{3C9F90C6-3B98-4EA9-83AC-B5B8E19CD54C}" srcId="{FCFA94D9-BB94-4897-82E3-C0CC17E8D8A4}" destId="{57C9C8BE-8DB4-48F7-B3B2-BCC18FDEFB17}" srcOrd="5" destOrd="0" parTransId="{11906EAC-9AC9-447D-9BD1-02B9A8607564}" sibTransId="{2149BB2E-FB59-4384-9884-E80F27AB4C0D}"/>
    <dgm:cxn modelId="{F14B3078-650E-4AE4-B31B-5B504146DD94}" type="presOf" srcId="{6FA00858-105A-4B2C-B607-0F13FAD698DC}" destId="{38EE9607-E880-4223-A727-22B815656B84}" srcOrd="0" destOrd="0" presId="urn:microsoft.com/office/officeart/2005/8/layout/cycle5"/>
    <dgm:cxn modelId="{8E654C6C-1BA3-4A77-9A15-15069B212566}" type="presOf" srcId="{A7F269CB-8B0A-4D51-B35C-CB2D55BA7864}" destId="{9AB171EF-338D-489C-949D-B3ADFFFCC330}" srcOrd="0" destOrd="0" presId="urn:microsoft.com/office/officeart/2005/8/layout/cycle5"/>
    <dgm:cxn modelId="{D4C84948-DBB6-46B0-BA75-88629D891426}" type="presOf" srcId="{BDC00F3B-098B-47AE-B8CD-26AD973F3524}" destId="{E8FE307D-C934-4465-92A7-9D03AB63A3EC}" srcOrd="0" destOrd="0" presId="urn:microsoft.com/office/officeart/2005/8/layout/cycle5"/>
    <dgm:cxn modelId="{4E003E75-6423-46A9-AA95-92DC73FC3952}" type="presOf" srcId="{57C9C8BE-8DB4-48F7-B3B2-BCC18FDEFB17}" destId="{09661CCD-811E-4CBA-9044-36DA5F064049}" srcOrd="0" destOrd="0" presId="urn:microsoft.com/office/officeart/2005/8/layout/cycle5"/>
    <dgm:cxn modelId="{39D0CB31-E576-4659-9FB2-EB4BBB7EFE05}" srcId="{FCFA94D9-BB94-4897-82E3-C0CC17E8D8A4}" destId="{B70E62CA-89DA-4535-B37C-09C29FF0B1B1}" srcOrd="2" destOrd="0" parTransId="{0BFCB2B5-7E6A-4102-8E82-08CEA8FFC357}" sibTransId="{EAF92741-993B-4215-9EBA-4E93AF53D6FF}"/>
    <dgm:cxn modelId="{D66C60BE-32A3-4213-9182-A92EDB632625}" type="presParOf" srcId="{4AEECDBE-FC57-470A-ADF9-B3FF01B16BDB}" destId="{59307C6C-E33D-4F9C-9070-A9435CD5F529}" srcOrd="0" destOrd="0" presId="urn:microsoft.com/office/officeart/2005/8/layout/cycle5"/>
    <dgm:cxn modelId="{ABC1AD75-4944-4ADF-A5C8-C3971CBCECBF}" type="presParOf" srcId="{4AEECDBE-FC57-470A-ADF9-B3FF01B16BDB}" destId="{6DA51635-FEBB-4BA8-BC31-3FCDBA304216}" srcOrd="1" destOrd="0" presId="urn:microsoft.com/office/officeart/2005/8/layout/cycle5"/>
    <dgm:cxn modelId="{836A637C-767E-4CA1-9BD2-EC3F67EACDF6}" type="presParOf" srcId="{4AEECDBE-FC57-470A-ADF9-B3FF01B16BDB}" destId="{9AB171EF-338D-489C-949D-B3ADFFFCC330}" srcOrd="2" destOrd="0" presId="urn:microsoft.com/office/officeart/2005/8/layout/cycle5"/>
    <dgm:cxn modelId="{83A8E263-6BFF-4550-8AC3-54CDB1059526}" type="presParOf" srcId="{4AEECDBE-FC57-470A-ADF9-B3FF01B16BDB}" destId="{8CC7BE7E-B65F-4414-B613-6A7ACE499BA3}" srcOrd="3" destOrd="0" presId="urn:microsoft.com/office/officeart/2005/8/layout/cycle5"/>
    <dgm:cxn modelId="{C0832848-B975-431A-B3B8-788D12AAFFD1}" type="presParOf" srcId="{4AEECDBE-FC57-470A-ADF9-B3FF01B16BDB}" destId="{9CBD8C7B-496E-487D-92BA-3490600B4819}" srcOrd="4" destOrd="0" presId="urn:microsoft.com/office/officeart/2005/8/layout/cycle5"/>
    <dgm:cxn modelId="{25D7874D-3740-487C-8FEA-4990AC422E5F}" type="presParOf" srcId="{4AEECDBE-FC57-470A-ADF9-B3FF01B16BDB}" destId="{BD9421E6-03DE-487B-8328-D671FBD12BD7}" srcOrd="5" destOrd="0" presId="urn:microsoft.com/office/officeart/2005/8/layout/cycle5"/>
    <dgm:cxn modelId="{5C477901-0991-4AF7-9DDB-4DB8DBCD0FE9}" type="presParOf" srcId="{4AEECDBE-FC57-470A-ADF9-B3FF01B16BDB}" destId="{42C252F5-1CFD-4A73-A3E9-346EFA718775}" srcOrd="6" destOrd="0" presId="urn:microsoft.com/office/officeart/2005/8/layout/cycle5"/>
    <dgm:cxn modelId="{C7FFBE80-E6C4-4CA7-8181-1071FE330599}" type="presParOf" srcId="{4AEECDBE-FC57-470A-ADF9-B3FF01B16BDB}" destId="{05207AAE-8A54-4968-8815-4C67E7476092}" srcOrd="7" destOrd="0" presId="urn:microsoft.com/office/officeart/2005/8/layout/cycle5"/>
    <dgm:cxn modelId="{5983C490-E031-45AB-8A4C-527B24B7C94E}" type="presParOf" srcId="{4AEECDBE-FC57-470A-ADF9-B3FF01B16BDB}" destId="{3DF7872E-20FA-428B-8110-0AA6EBD81E16}" srcOrd="8" destOrd="0" presId="urn:microsoft.com/office/officeart/2005/8/layout/cycle5"/>
    <dgm:cxn modelId="{6223C9AF-2D43-48CF-BE3F-15567FDB8C36}" type="presParOf" srcId="{4AEECDBE-FC57-470A-ADF9-B3FF01B16BDB}" destId="{CDD580F4-5965-497B-8FB8-3D55DAB7F482}" srcOrd="9" destOrd="0" presId="urn:microsoft.com/office/officeart/2005/8/layout/cycle5"/>
    <dgm:cxn modelId="{D434A71E-EF09-4BEF-BD51-D65E0BD76339}" type="presParOf" srcId="{4AEECDBE-FC57-470A-ADF9-B3FF01B16BDB}" destId="{5E8EB526-72E3-419E-BEA5-BF06AB5403C3}" srcOrd="10" destOrd="0" presId="urn:microsoft.com/office/officeart/2005/8/layout/cycle5"/>
    <dgm:cxn modelId="{E406DE7D-C179-4B10-889E-14B9D187DA5E}" type="presParOf" srcId="{4AEECDBE-FC57-470A-ADF9-B3FF01B16BDB}" destId="{38EE9607-E880-4223-A727-22B815656B84}" srcOrd="11" destOrd="0" presId="urn:microsoft.com/office/officeart/2005/8/layout/cycle5"/>
    <dgm:cxn modelId="{5A7B65E2-2D6A-4CDC-A9C7-8415CDB216A2}" type="presParOf" srcId="{4AEECDBE-FC57-470A-ADF9-B3FF01B16BDB}" destId="{E1DA9B08-08F0-4489-BC87-0DEB5D2EC110}" srcOrd="12" destOrd="0" presId="urn:microsoft.com/office/officeart/2005/8/layout/cycle5"/>
    <dgm:cxn modelId="{93563DFE-A67C-4F65-BD09-BF54D8DE628A}" type="presParOf" srcId="{4AEECDBE-FC57-470A-ADF9-B3FF01B16BDB}" destId="{8CB4B75A-C445-4503-8C20-63D082E9B282}" srcOrd="13" destOrd="0" presId="urn:microsoft.com/office/officeart/2005/8/layout/cycle5"/>
    <dgm:cxn modelId="{2100D2E4-E255-4E21-AC95-296CEA70AA31}" type="presParOf" srcId="{4AEECDBE-FC57-470A-ADF9-B3FF01B16BDB}" destId="{50321A26-DB31-4675-A445-933159784862}" srcOrd="14" destOrd="0" presId="urn:microsoft.com/office/officeart/2005/8/layout/cycle5"/>
    <dgm:cxn modelId="{9B54544F-EDE6-441C-896D-299632D028BA}" type="presParOf" srcId="{4AEECDBE-FC57-470A-ADF9-B3FF01B16BDB}" destId="{09661CCD-811E-4CBA-9044-36DA5F064049}" srcOrd="15" destOrd="0" presId="urn:microsoft.com/office/officeart/2005/8/layout/cycle5"/>
    <dgm:cxn modelId="{2EC6F175-1476-465E-972C-34ED6C5FF60B}" type="presParOf" srcId="{4AEECDBE-FC57-470A-ADF9-B3FF01B16BDB}" destId="{72C63FE5-E2E7-41C9-8F3B-532E418F5A9F}" srcOrd="16" destOrd="0" presId="urn:microsoft.com/office/officeart/2005/8/layout/cycle5"/>
    <dgm:cxn modelId="{29E0FF4F-39D4-4B58-8333-4B59D2783EF7}" type="presParOf" srcId="{4AEECDBE-FC57-470A-ADF9-B3FF01B16BDB}" destId="{328BB373-26F7-4B3B-805F-DA1CDC17B99F}" srcOrd="17" destOrd="0" presId="urn:microsoft.com/office/officeart/2005/8/layout/cycle5"/>
    <dgm:cxn modelId="{B7CE3973-66F3-47AD-88FF-284DB1EAB18A}" type="presParOf" srcId="{4AEECDBE-FC57-470A-ADF9-B3FF01B16BDB}" destId="{E8FE307D-C934-4465-92A7-9D03AB63A3EC}" srcOrd="18" destOrd="0" presId="urn:microsoft.com/office/officeart/2005/8/layout/cycle5"/>
    <dgm:cxn modelId="{4F251763-297D-49BF-81C6-E1154F317FD6}" type="presParOf" srcId="{4AEECDBE-FC57-470A-ADF9-B3FF01B16BDB}" destId="{9541CE91-928D-448C-802A-D1766136E714}" srcOrd="19" destOrd="0" presId="urn:microsoft.com/office/officeart/2005/8/layout/cycle5"/>
    <dgm:cxn modelId="{810746F2-D7D7-4E8B-91C9-0429545DCB6B}" type="presParOf" srcId="{4AEECDBE-FC57-470A-ADF9-B3FF01B16BDB}" destId="{C4EA897B-2D27-45E3-BDB8-F0A85B456C89}" srcOrd="20" destOrd="0" presId="urn:microsoft.com/office/officeart/2005/8/layout/cycle5"/>
    <dgm:cxn modelId="{4AEFF728-2C97-43D7-A027-732C3E4B7174}" type="presParOf" srcId="{4AEECDBE-FC57-470A-ADF9-B3FF01B16BDB}" destId="{C0BBF443-7856-4993-890D-0FF12FDF0D5D}" srcOrd="21" destOrd="0" presId="urn:microsoft.com/office/officeart/2005/8/layout/cycle5"/>
    <dgm:cxn modelId="{2516F439-31FA-49F9-9A3E-C233531137AA}" type="presParOf" srcId="{4AEECDBE-FC57-470A-ADF9-B3FF01B16BDB}" destId="{1BEBDE14-DE46-4DAB-A7F3-F2F52D199062}" srcOrd="22" destOrd="0" presId="urn:microsoft.com/office/officeart/2005/8/layout/cycle5"/>
    <dgm:cxn modelId="{F75D5200-760E-43F5-BBA9-775158828C92}" type="presParOf" srcId="{4AEECDBE-FC57-470A-ADF9-B3FF01B16BDB}" destId="{1168F5C5-F695-4DD3-A351-43DBA6ABE86C}" srcOrd="23" destOrd="0" presId="urn:microsoft.com/office/officeart/2005/8/layout/cycle5"/>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307C6C-E33D-4F9C-9070-A9435CD5F529}">
      <dsp:nvSpPr>
        <dsp:cNvPr id="0" name=""/>
        <dsp:cNvSpPr/>
      </dsp:nvSpPr>
      <dsp:spPr>
        <a:xfrm>
          <a:off x="2352012" y="3159"/>
          <a:ext cx="982400" cy="471948"/>
        </a:xfrm>
        <a:prstGeom prst="round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t>1.Transaction</a:t>
          </a:r>
        </a:p>
      </dsp:txBody>
      <dsp:txXfrm>
        <a:off x="2375051" y="26198"/>
        <a:ext cx="936322" cy="425870"/>
      </dsp:txXfrm>
    </dsp:sp>
    <dsp:sp modelId="{9AB171EF-338D-489C-949D-B3ADFFFCC330}">
      <dsp:nvSpPr>
        <dsp:cNvPr id="0" name=""/>
        <dsp:cNvSpPr/>
      </dsp:nvSpPr>
      <dsp:spPr>
        <a:xfrm>
          <a:off x="1205921" y="239133"/>
          <a:ext cx="3274582" cy="3274582"/>
        </a:xfrm>
        <a:custGeom>
          <a:avLst/>
          <a:gdLst/>
          <a:ahLst/>
          <a:cxnLst/>
          <a:rect l="0" t="0" r="0" b="0"/>
          <a:pathLst>
            <a:path>
              <a:moveTo>
                <a:pt x="2205058" y="101595"/>
              </a:moveTo>
              <a:arcTo wR="1637291" hR="1637291" stAng="17417402" swAng="511929"/>
            </a:path>
          </a:pathLst>
        </a:custGeom>
        <a:noFill/>
        <a:ln w="9525" cap="flat" cmpd="sng" algn="ctr">
          <a:solidFill>
            <a:schemeClr val="accent2">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8CC7BE7E-B65F-4414-B613-6A7ACE499BA3}">
      <dsp:nvSpPr>
        <dsp:cNvPr id="0" name=""/>
        <dsp:cNvSpPr/>
      </dsp:nvSpPr>
      <dsp:spPr>
        <a:xfrm>
          <a:off x="3637915" y="482710"/>
          <a:ext cx="726074" cy="471948"/>
        </a:xfrm>
        <a:prstGeom prst="round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t>2. Journal</a:t>
          </a:r>
        </a:p>
      </dsp:txBody>
      <dsp:txXfrm>
        <a:off x="3660954" y="505749"/>
        <a:ext cx="679996" cy="425870"/>
      </dsp:txXfrm>
    </dsp:sp>
    <dsp:sp modelId="{BD9421E6-03DE-487B-8328-D671FBD12BD7}">
      <dsp:nvSpPr>
        <dsp:cNvPr id="0" name=""/>
        <dsp:cNvSpPr/>
      </dsp:nvSpPr>
      <dsp:spPr>
        <a:xfrm>
          <a:off x="1205921" y="239133"/>
          <a:ext cx="3274582" cy="3274582"/>
        </a:xfrm>
        <a:custGeom>
          <a:avLst/>
          <a:gdLst/>
          <a:ahLst/>
          <a:cxnLst/>
          <a:rect l="0" t="0" r="0" b="0"/>
          <a:pathLst>
            <a:path>
              <a:moveTo>
                <a:pt x="3067751" y="840731"/>
              </a:moveTo>
              <a:arcTo wR="1637291" hR="1637291" stAng="19853309" swAng="940450"/>
            </a:path>
          </a:pathLst>
        </a:custGeom>
        <a:noFill/>
        <a:ln w="9525" cap="flat" cmpd="sng" algn="ctr">
          <a:solidFill>
            <a:schemeClr val="accent3">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42C252F5-1CFD-4A73-A3E9-346EFA718775}">
      <dsp:nvSpPr>
        <dsp:cNvPr id="0" name=""/>
        <dsp:cNvSpPr/>
      </dsp:nvSpPr>
      <dsp:spPr>
        <a:xfrm>
          <a:off x="4117466" y="1640450"/>
          <a:ext cx="726074" cy="471948"/>
        </a:xfrm>
        <a:prstGeom prst="round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t>3.Posting</a:t>
          </a:r>
        </a:p>
      </dsp:txBody>
      <dsp:txXfrm>
        <a:off x="4140505" y="1663489"/>
        <a:ext cx="679996" cy="425870"/>
      </dsp:txXfrm>
    </dsp:sp>
    <dsp:sp modelId="{3DF7872E-20FA-428B-8110-0AA6EBD81E16}">
      <dsp:nvSpPr>
        <dsp:cNvPr id="0" name=""/>
        <dsp:cNvSpPr/>
      </dsp:nvSpPr>
      <dsp:spPr>
        <a:xfrm>
          <a:off x="1205921" y="239133"/>
          <a:ext cx="3274582" cy="3274582"/>
        </a:xfrm>
        <a:custGeom>
          <a:avLst/>
          <a:gdLst/>
          <a:ahLst/>
          <a:cxnLst/>
          <a:rect l="0" t="0" r="0" b="0"/>
          <a:pathLst>
            <a:path>
              <a:moveTo>
                <a:pt x="3229761" y="2017768"/>
              </a:moveTo>
              <a:arcTo wR="1637291" hR="1637291" stAng="806241" swAng="940450"/>
            </a:path>
          </a:pathLst>
        </a:custGeom>
        <a:noFill/>
        <a:ln w="9525" cap="flat" cmpd="sng" algn="ctr">
          <a:solidFill>
            <a:schemeClr val="accent4">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CDD580F4-5965-497B-8FB8-3D55DAB7F482}">
      <dsp:nvSpPr>
        <dsp:cNvPr id="0" name=""/>
        <dsp:cNvSpPr/>
      </dsp:nvSpPr>
      <dsp:spPr>
        <a:xfrm>
          <a:off x="3637915" y="2798190"/>
          <a:ext cx="726074" cy="471948"/>
        </a:xfrm>
        <a:prstGeom prst="round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t>4.Trial Balance</a:t>
          </a:r>
        </a:p>
      </dsp:txBody>
      <dsp:txXfrm>
        <a:off x="3660954" y="2821229"/>
        <a:ext cx="679996" cy="425870"/>
      </dsp:txXfrm>
    </dsp:sp>
    <dsp:sp modelId="{38EE9607-E880-4223-A727-22B815656B84}">
      <dsp:nvSpPr>
        <dsp:cNvPr id="0" name=""/>
        <dsp:cNvSpPr/>
      </dsp:nvSpPr>
      <dsp:spPr>
        <a:xfrm>
          <a:off x="1205921" y="239133"/>
          <a:ext cx="3274582" cy="3274582"/>
        </a:xfrm>
        <a:custGeom>
          <a:avLst/>
          <a:gdLst/>
          <a:ahLst/>
          <a:cxnLst/>
          <a:rect l="0" t="0" r="0" b="0"/>
          <a:pathLst>
            <a:path>
              <a:moveTo>
                <a:pt x="2403489" y="3084241"/>
              </a:moveTo>
              <a:arcTo wR="1637291" hR="1637291" stAng="3725856" swAng="680400"/>
            </a:path>
          </a:pathLst>
        </a:custGeom>
        <a:noFill/>
        <a:ln w="9525" cap="flat" cmpd="sng" algn="ctr">
          <a:solidFill>
            <a:schemeClr val="accent5">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E1DA9B08-08F0-4489-BC87-0DEB5D2EC110}">
      <dsp:nvSpPr>
        <dsp:cNvPr id="0" name=""/>
        <dsp:cNvSpPr/>
      </dsp:nvSpPr>
      <dsp:spPr>
        <a:xfrm>
          <a:off x="2480175" y="3277742"/>
          <a:ext cx="726074" cy="471948"/>
        </a:xfrm>
        <a:prstGeom prst="round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t>5.Worksheet</a:t>
          </a:r>
        </a:p>
      </dsp:txBody>
      <dsp:txXfrm>
        <a:off x="2503214" y="3300781"/>
        <a:ext cx="679996" cy="425870"/>
      </dsp:txXfrm>
    </dsp:sp>
    <dsp:sp modelId="{50321A26-DB31-4675-A445-933159784862}">
      <dsp:nvSpPr>
        <dsp:cNvPr id="0" name=""/>
        <dsp:cNvSpPr/>
      </dsp:nvSpPr>
      <dsp:spPr>
        <a:xfrm>
          <a:off x="1205921" y="239133"/>
          <a:ext cx="3274582" cy="3274582"/>
        </a:xfrm>
        <a:custGeom>
          <a:avLst/>
          <a:gdLst/>
          <a:ahLst/>
          <a:cxnLst/>
          <a:rect l="0" t="0" r="0" b="0"/>
          <a:pathLst>
            <a:path>
              <a:moveTo>
                <a:pt x="1170565" y="3206651"/>
              </a:moveTo>
              <a:arcTo wR="1637291" hR="1637291" stAng="6393745" swAng="680400"/>
            </a:path>
          </a:pathLst>
        </a:custGeom>
        <a:noFill/>
        <a:ln w="9525" cap="flat" cmpd="sng" algn="ctr">
          <a:solidFill>
            <a:schemeClr val="accent6">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09661CCD-811E-4CBA-9044-36DA5F064049}">
      <dsp:nvSpPr>
        <dsp:cNvPr id="0" name=""/>
        <dsp:cNvSpPr/>
      </dsp:nvSpPr>
      <dsp:spPr>
        <a:xfrm>
          <a:off x="1101124" y="2798190"/>
          <a:ext cx="1168696" cy="471948"/>
        </a:xfrm>
        <a:prstGeom prst="round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t>6.Adjusting Journal Entries</a:t>
          </a:r>
        </a:p>
      </dsp:txBody>
      <dsp:txXfrm>
        <a:off x="1124163" y="2821229"/>
        <a:ext cx="1122618" cy="425870"/>
      </dsp:txXfrm>
    </dsp:sp>
    <dsp:sp modelId="{328BB373-26F7-4B3B-805F-DA1CDC17B99F}">
      <dsp:nvSpPr>
        <dsp:cNvPr id="0" name=""/>
        <dsp:cNvSpPr/>
      </dsp:nvSpPr>
      <dsp:spPr>
        <a:xfrm>
          <a:off x="1205921" y="239133"/>
          <a:ext cx="3274582" cy="3274582"/>
        </a:xfrm>
        <a:custGeom>
          <a:avLst/>
          <a:gdLst/>
          <a:ahLst/>
          <a:cxnLst/>
          <a:rect l="0" t="0" r="0" b="0"/>
          <a:pathLst>
            <a:path>
              <a:moveTo>
                <a:pt x="206831" y="2433851"/>
              </a:moveTo>
              <a:arcTo wR="1637291" hR="1637291" stAng="9053309" swAng="940450"/>
            </a:path>
          </a:pathLst>
        </a:custGeom>
        <a:noFill/>
        <a:ln w="9525" cap="flat" cmpd="sng" algn="ctr">
          <a:solidFill>
            <a:schemeClr val="accent2">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E8FE307D-C934-4465-92A7-9D03AB63A3EC}">
      <dsp:nvSpPr>
        <dsp:cNvPr id="0" name=""/>
        <dsp:cNvSpPr/>
      </dsp:nvSpPr>
      <dsp:spPr>
        <a:xfrm>
          <a:off x="842883" y="1640450"/>
          <a:ext cx="726074" cy="471948"/>
        </a:xfrm>
        <a:prstGeom prst="round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t>7.Financial Statement</a:t>
          </a:r>
        </a:p>
      </dsp:txBody>
      <dsp:txXfrm>
        <a:off x="865922" y="1663489"/>
        <a:ext cx="679996" cy="425870"/>
      </dsp:txXfrm>
    </dsp:sp>
    <dsp:sp modelId="{C4EA897B-2D27-45E3-BDB8-F0A85B456C89}">
      <dsp:nvSpPr>
        <dsp:cNvPr id="0" name=""/>
        <dsp:cNvSpPr/>
      </dsp:nvSpPr>
      <dsp:spPr>
        <a:xfrm>
          <a:off x="1205921" y="239133"/>
          <a:ext cx="3274582" cy="3274582"/>
        </a:xfrm>
        <a:custGeom>
          <a:avLst/>
          <a:gdLst/>
          <a:ahLst/>
          <a:cxnLst/>
          <a:rect l="0" t="0" r="0" b="0"/>
          <a:pathLst>
            <a:path>
              <a:moveTo>
                <a:pt x="44821" y="1256814"/>
              </a:moveTo>
              <a:arcTo wR="1637291" hR="1637291" stAng="11606241" swAng="940450"/>
            </a:path>
          </a:pathLst>
        </a:custGeom>
        <a:noFill/>
        <a:ln w="9525" cap="flat" cmpd="sng" algn="ctr">
          <a:solidFill>
            <a:schemeClr val="accent3">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 modelId="{C0BBF443-7856-4993-890D-0FF12FDF0D5D}">
      <dsp:nvSpPr>
        <dsp:cNvPr id="0" name=""/>
        <dsp:cNvSpPr/>
      </dsp:nvSpPr>
      <dsp:spPr>
        <a:xfrm>
          <a:off x="1322435" y="482710"/>
          <a:ext cx="726074" cy="471948"/>
        </a:xfrm>
        <a:prstGeom prst="round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t>8.Closing the books</a:t>
          </a:r>
        </a:p>
      </dsp:txBody>
      <dsp:txXfrm>
        <a:off x="1345474" y="505749"/>
        <a:ext cx="679996" cy="425870"/>
      </dsp:txXfrm>
    </dsp:sp>
    <dsp:sp modelId="{1168F5C5-F695-4DD3-A351-43DBA6ABE86C}">
      <dsp:nvSpPr>
        <dsp:cNvPr id="0" name=""/>
        <dsp:cNvSpPr/>
      </dsp:nvSpPr>
      <dsp:spPr>
        <a:xfrm>
          <a:off x="1205921" y="239133"/>
          <a:ext cx="3274582" cy="3274582"/>
        </a:xfrm>
        <a:custGeom>
          <a:avLst/>
          <a:gdLst/>
          <a:ahLst/>
          <a:cxnLst/>
          <a:rect l="0" t="0" r="0" b="0"/>
          <a:pathLst>
            <a:path>
              <a:moveTo>
                <a:pt x="847964" y="202827"/>
              </a:moveTo>
              <a:arcTo wR="1637291" hR="1637291" stAng="14470669" swAng="511929"/>
            </a:path>
          </a:pathLst>
        </a:custGeom>
        <a:noFill/>
        <a:ln w="9525" cap="flat" cmpd="sng" algn="ctr">
          <a:solidFill>
            <a:schemeClr val="accent4">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847</Words>
  <Characters>4830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Emirates Group</Company>
  <LinksUpToDate>false</LinksUpToDate>
  <CharactersWithSpaces>5666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fujistu</dc:creator>
  <cp:lastModifiedBy>Saleha Farhat</cp:lastModifiedBy>
  <cp:revision>2</cp:revision>
  <dcterms:created xsi:type="dcterms:W3CDTF">2016-11-13T02:51:00Z</dcterms:created>
  <dcterms:modified xsi:type="dcterms:W3CDTF">2016-11-13T02:51:00Z</dcterms:modified>
</cp:coreProperties>
</file>