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6FD">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E6AD8" w:rsidRPr="00490A4E" w:rsidRDefault="00AE6AD8" w:rsidP="00AE6AD8">
            <w:pPr>
              <w:pStyle w:val="Default"/>
              <w:numPr>
                <w:ilvl w:val="0"/>
                <w:numId w:val="1"/>
              </w:numPr>
              <w:spacing w:line="360" w:lineRule="auto"/>
              <w:rPr>
                <w:rFonts w:asciiTheme="minorHAnsi" w:hAnsiTheme="minorHAnsi"/>
                <w:color w:val="auto"/>
                <w:sz w:val="22"/>
                <w:szCs w:val="22"/>
              </w:rPr>
            </w:pPr>
          </w:p>
          <w:p w:rsidR="00AE6AD8" w:rsidRPr="008F008E" w:rsidRDefault="00AE6AD8" w:rsidP="00AE6AD8">
            <w:pPr>
              <w:pStyle w:val="Default"/>
              <w:numPr>
                <w:ilvl w:val="0"/>
                <w:numId w:val="2"/>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Location plays an important role as it has the potential to either make or break the supply chain of the </w:t>
            </w:r>
            <w:proofErr w:type="spellStart"/>
            <w:r w:rsidRPr="008F008E">
              <w:rPr>
                <w:rFonts w:asciiTheme="minorHAnsi" w:hAnsiTheme="minorHAnsi"/>
                <w:color w:val="auto"/>
                <w:sz w:val="22"/>
                <w:szCs w:val="22"/>
              </w:rPr>
              <w:t>organisation</w:t>
            </w:r>
            <w:proofErr w:type="spellEnd"/>
            <w:r w:rsidRPr="008F008E">
              <w:rPr>
                <w:rFonts w:asciiTheme="minorHAnsi" w:hAnsiTheme="minorHAnsi"/>
                <w:color w:val="auto"/>
                <w:sz w:val="22"/>
                <w:szCs w:val="22"/>
              </w:rPr>
              <w:t>. The geographical location of the facilities for the various elements in the supply chain must serve as a long term objective and must not be taken lightly as:</w:t>
            </w:r>
          </w:p>
          <w:p w:rsidR="00AE6AD8" w:rsidRPr="008F008E" w:rsidRDefault="00AE6AD8" w:rsidP="00AE6AD8">
            <w:pPr>
              <w:pStyle w:val="Default"/>
              <w:spacing w:line="360" w:lineRule="auto"/>
              <w:ind w:left="1440"/>
              <w:rPr>
                <w:rFonts w:asciiTheme="minorHAnsi" w:hAnsiTheme="minorHAnsi"/>
                <w:color w:val="FF0000"/>
                <w:sz w:val="22"/>
                <w:szCs w:val="22"/>
              </w:rPr>
            </w:pPr>
          </w:p>
          <w:p w:rsidR="00AE6AD8"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If the incorrect location decision is made: </w:t>
            </w:r>
          </w:p>
          <w:p w:rsidR="00AE6AD8" w:rsidRPr="008F008E" w:rsidRDefault="00AE6AD8" w:rsidP="00AE6AD8">
            <w:pPr>
              <w:pStyle w:val="Default"/>
              <w:spacing w:line="360" w:lineRule="auto"/>
              <w:ind w:left="2160"/>
              <w:rPr>
                <w:rFonts w:asciiTheme="minorHAnsi" w:hAnsiTheme="minorHAnsi"/>
                <w:color w:val="auto"/>
                <w:sz w:val="22"/>
                <w:szCs w:val="22"/>
              </w:rPr>
            </w:pPr>
          </w:p>
          <w:p w:rsidR="00AE6AD8" w:rsidRPr="008F008E" w:rsidRDefault="00AE6AD8" w:rsidP="00AE6AD8">
            <w:pPr>
              <w:pStyle w:val="Default"/>
              <w:numPr>
                <w:ilvl w:val="0"/>
                <w:numId w:val="10"/>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The capital investment involved in opening a new facility can run into tens or even hundreds of millions of dollars which will not be recoverable if the </w:t>
            </w:r>
            <w:proofErr w:type="spellStart"/>
            <w:r w:rsidRPr="008F008E">
              <w:rPr>
                <w:rFonts w:asciiTheme="minorHAnsi" w:hAnsiTheme="minorHAnsi"/>
                <w:color w:val="auto"/>
                <w:sz w:val="22"/>
                <w:szCs w:val="22"/>
              </w:rPr>
              <w:t>organisation</w:t>
            </w:r>
            <w:proofErr w:type="spellEnd"/>
            <w:r w:rsidRPr="008F008E">
              <w:rPr>
                <w:rFonts w:asciiTheme="minorHAnsi" w:hAnsiTheme="minorHAnsi"/>
                <w:color w:val="auto"/>
                <w:sz w:val="22"/>
                <w:szCs w:val="22"/>
              </w:rPr>
              <w:t xml:space="preserve"> cannot turn a profit or is forced to close the facility</w:t>
            </w:r>
          </w:p>
          <w:p w:rsidR="00AE6AD8" w:rsidRPr="008F008E" w:rsidRDefault="00AE6AD8" w:rsidP="00AE6AD8">
            <w:pPr>
              <w:pStyle w:val="Default"/>
              <w:spacing w:line="360" w:lineRule="auto"/>
              <w:ind w:left="2880"/>
              <w:rPr>
                <w:rFonts w:asciiTheme="minorHAnsi" w:hAnsiTheme="minorHAnsi"/>
                <w:color w:val="auto"/>
                <w:sz w:val="22"/>
                <w:szCs w:val="22"/>
              </w:rPr>
            </w:pPr>
          </w:p>
          <w:p w:rsidR="00AE6AD8" w:rsidRPr="008F008E" w:rsidRDefault="00AE6AD8" w:rsidP="00AE6AD8">
            <w:pPr>
              <w:pStyle w:val="Default"/>
              <w:numPr>
                <w:ilvl w:val="0"/>
                <w:numId w:val="10"/>
              </w:numPr>
              <w:spacing w:line="360" w:lineRule="auto"/>
              <w:rPr>
                <w:rFonts w:asciiTheme="minorHAnsi" w:hAnsiTheme="minorHAnsi"/>
                <w:color w:val="auto"/>
                <w:sz w:val="22"/>
                <w:szCs w:val="22"/>
              </w:rPr>
            </w:pPr>
            <w:r w:rsidRPr="008F008E">
              <w:rPr>
                <w:rFonts w:asciiTheme="minorHAnsi" w:hAnsiTheme="minorHAnsi"/>
                <w:color w:val="auto"/>
                <w:sz w:val="22"/>
                <w:szCs w:val="22"/>
              </w:rPr>
              <w:t>Resulting in unsustainable operating costs (such as increase in transportation costs, less flexibility and reliability, monopoly being held by suppliers etc.)</w:t>
            </w:r>
          </w:p>
          <w:p w:rsidR="00AE6AD8" w:rsidRPr="008F008E" w:rsidRDefault="00AE6AD8" w:rsidP="00AE6AD8">
            <w:pPr>
              <w:pStyle w:val="Default"/>
              <w:spacing w:line="360" w:lineRule="auto"/>
              <w:rPr>
                <w:rFonts w:asciiTheme="minorHAnsi" w:hAnsiTheme="minorHAnsi"/>
                <w:color w:val="auto"/>
                <w:sz w:val="22"/>
                <w:szCs w:val="22"/>
              </w:rPr>
            </w:pPr>
          </w:p>
          <w:p w:rsidR="00AE6AD8" w:rsidRPr="008F008E" w:rsidRDefault="00AE6AD8" w:rsidP="00AE6AD8">
            <w:pPr>
              <w:pStyle w:val="Default"/>
              <w:numPr>
                <w:ilvl w:val="0"/>
                <w:numId w:val="10"/>
              </w:numPr>
              <w:spacing w:line="360" w:lineRule="auto"/>
              <w:rPr>
                <w:rFonts w:asciiTheme="minorHAnsi" w:hAnsiTheme="minorHAnsi"/>
                <w:color w:val="auto"/>
                <w:sz w:val="22"/>
                <w:szCs w:val="22"/>
              </w:rPr>
            </w:pPr>
            <w:r w:rsidRPr="008F008E">
              <w:rPr>
                <w:rFonts w:asciiTheme="minorHAnsi" w:hAnsiTheme="minorHAnsi"/>
                <w:color w:val="auto"/>
                <w:sz w:val="22"/>
                <w:szCs w:val="22"/>
              </w:rPr>
              <w:t>An inefficient operation will also produce poor performance and customer dissatisfaction</w:t>
            </w:r>
          </w:p>
          <w:p w:rsidR="00AE6AD8" w:rsidRPr="008F008E" w:rsidRDefault="00AE6AD8" w:rsidP="00AE6AD8">
            <w:pPr>
              <w:pStyle w:val="Default"/>
              <w:spacing w:line="360" w:lineRule="auto"/>
              <w:ind w:left="2880"/>
              <w:rPr>
                <w:rFonts w:asciiTheme="minorHAnsi" w:hAnsiTheme="minorHAnsi"/>
                <w:color w:val="auto"/>
                <w:sz w:val="22"/>
                <w:szCs w:val="22"/>
              </w:rPr>
            </w:pPr>
          </w:p>
          <w:p w:rsidR="00AE6AD8" w:rsidRPr="00686C85" w:rsidRDefault="00AE6AD8" w:rsidP="00AE6AD8">
            <w:pPr>
              <w:pStyle w:val="Default"/>
              <w:spacing w:line="360" w:lineRule="auto"/>
              <w:ind w:left="1440"/>
              <w:rPr>
                <w:rFonts w:asciiTheme="minorHAnsi" w:hAnsiTheme="minorHAnsi"/>
                <w:color w:val="auto"/>
                <w:sz w:val="22"/>
                <w:szCs w:val="22"/>
              </w:rPr>
            </w:pPr>
            <w:r w:rsidRPr="008F008E">
              <w:rPr>
                <w:rFonts w:asciiTheme="minorHAnsi" w:hAnsiTheme="minorHAnsi"/>
                <w:color w:val="auto"/>
                <w:sz w:val="22"/>
                <w:szCs w:val="22"/>
              </w:rPr>
              <w:t xml:space="preserve">Similarly, the correct location will have opposite effect and will go a long way in aiding the successful operation and profitability of the </w:t>
            </w:r>
            <w:proofErr w:type="spellStart"/>
            <w:r w:rsidRPr="008F008E">
              <w:rPr>
                <w:rFonts w:asciiTheme="minorHAnsi" w:hAnsiTheme="minorHAnsi"/>
                <w:color w:val="auto"/>
                <w:sz w:val="22"/>
                <w:szCs w:val="22"/>
              </w:rPr>
              <w:t>organisation</w:t>
            </w:r>
            <w:proofErr w:type="spellEnd"/>
            <w:r w:rsidRPr="008F008E">
              <w:rPr>
                <w:rFonts w:asciiTheme="minorHAnsi" w:hAnsiTheme="minorHAnsi"/>
                <w:color w:val="auto"/>
                <w:sz w:val="22"/>
                <w:szCs w:val="22"/>
              </w:rPr>
              <w:t xml:space="preserve">. </w:t>
            </w:r>
          </w:p>
          <w:p w:rsidR="00AE6AD8" w:rsidRPr="00490A4E" w:rsidRDefault="00AE6AD8" w:rsidP="00AE6AD8">
            <w:pPr>
              <w:pStyle w:val="Default"/>
              <w:spacing w:line="360" w:lineRule="auto"/>
              <w:ind w:left="1440"/>
              <w:rPr>
                <w:rFonts w:asciiTheme="minorHAnsi" w:hAnsiTheme="minorHAnsi"/>
                <w:color w:val="auto"/>
                <w:sz w:val="22"/>
                <w:szCs w:val="22"/>
              </w:rPr>
            </w:pPr>
            <w:r w:rsidRPr="00490A4E">
              <w:rPr>
                <w:rFonts w:asciiTheme="minorHAnsi" w:hAnsiTheme="minorHAnsi"/>
                <w:color w:val="auto"/>
                <w:sz w:val="22"/>
                <w:szCs w:val="22"/>
              </w:rPr>
              <w:t xml:space="preserve"> </w:t>
            </w:r>
          </w:p>
          <w:p w:rsidR="00AE6AD8" w:rsidRPr="008F008E" w:rsidRDefault="00AE6AD8" w:rsidP="00AE6AD8">
            <w:pPr>
              <w:pStyle w:val="Default"/>
              <w:numPr>
                <w:ilvl w:val="0"/>
                <w:numId w:val="2"/>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Usually the most important factors that influence location decisions are: </w:t>
            </w:r>
          </w:p>
          <w:p w:rsidR="00AE6AD8" w:rsidRPr="008F008E" w:rsidRDefault="00AE6AD8" w:rsidP="00AE6AD8">
            <w:pPr>
              <w:pStyle w:val="Default"/>
              <w:spacing w:line="360" w:lineRule="auto"/>
              <w:ind w:left="1440"/>
              <w:rPr>
                <w:rFonts w:asciiTheme="minorHAnsi" w:hAnsiTheme="minorHAnsi"/>
                <w:color w:val="FF0000"/>
                <w:sz w:val="22"/>
                <w:szCs w:val="22"/>
              </w:rPr>
            </w:pPr>
          </w:p>
          <w:p w:rsidR="00AE6AD8" w:rsidRPr="008F008E"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Location of customers – </w:t>
            </w:r>
            <w:proofErr w:type="spellStart"/>
            <w:r w:rsidRPr="008F008E">
              <w:rPr>
                <w:rFonts w:asciiTheme="minorHAnsi" w:hAnsiTheme="minorHAnsi"/>
                <w:color w:val="auto"/>
                <w:sz w:val="22"/>
                <w:szCs w:val="22"/>
              </w:rPr>
              <w:t>organisations</w:t>
            </w:r>
            <w:proofErr w:type="spellEnd"/>
            <w:r w:rsidRPr="008F008E">
              <w:rPr>
                <w:rFonts w:asciiTheme="minorHAnsi" w:hAnsiTheme="minorHAnsi"/>
                <w:color w:val="auto"/>
                <w:sz w:val="22"/>
                <w:szCs w:val="22"/>
              </w:rPr>
              <w:t xml:space="preserve"> generally tend to be located in close proximity to their suppliers and customers</w:t>
            </w:r>
          </w:p>
          <w:p w:rsidR="00AE6AD8" w:rsidRPr="008F008E" w:rsidRDefault="00AE6AD8" w:rsidP="00AE6AD8">
            <w:pPr>
              <w:pStyle w:val="Default"/>
              <w:spacing w:line="360" w:lineRule="auto"/>
              <w:ind w:left="2160"/>
              <w:rPr>
                <w:rFonts w:asciiTheme="minorHAnsi" w:hAnsiTheme="minorHAnsi"/>
                <w:color w:val="auto"/>
                <w:sz w:val="22"/>
                <w:szCs w:val="22"/>
              </w:rPr>
            </w:pPr>
          </w:p>
          <w:p w:rsidR="00AE6AD8" w:rsidRPr="008F008E"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Location of utilities – proximity to power generation and supply companies etc.</w:t>
            </w:r>
          </w:p>
          <w:p w:rsidR="00AE6AD8" w:rsidRPr="008F008E" w:rsidRDefault="00AE6AD8" w:rsidP="00AE6AD8">
            <w:pPr>
              <w:pStyle w:val="Default"/>
              <w:spacing w:line="360" w:lineRule="auto"/>
              <w:ind w:left="2160"/>
              <w:rPr>
                <w:rFonts w:asciiTheme="minorHAnsi" w:hAnsiTheme="minorHAnsi"/>
                <w:color w:val="auto"/>
                <w:sz w:val="22"/>
                <w:szCs w:val="22"/>
              </w:rPr>
            </w:pPr>
          </w:p>
          <w:p w:rsidR="00AE6AD8" w:rsidRPr="008F008E"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Culture – it is easier to open a new facility in an area that has the same or similar culture, laws, language and costs than to open in a foreign area</w:t>
            </w:r>
          </w:p>
          <w:p w:rsidR="00AE6AD8" w:rsidRPr="008F008E" w:rsidRDefault="00AE6AD8" w:rsidP="00AE6AD8">
            <w:pPr>
              <w:pStyle w:val="Default"/>
              <w:spacing w:line="360" w:lineRule="auto"/>
              <w:rPr>
                <w:rFonts w:asciiTheme="minorHAnsi" w:hAnsiTheme="minorHAnsi"/>
                <w:color w:val="auto"/>
                <w:sz w:val="22"/>
                <w:szCs w:val="22"/>
              </w:rPr>
            </w:pPr>
          </w:p>
          <w:p w:rsidR="00AE6AD8" w:rsidRPr="008F008E"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Government attitudes – local and national governmental regulations can have an adverse effect on the appeal of an area</w:t>
            </w:r>
          </w:p>
          <w:p w:rsidR="00AE6AD8" w:rsidRPr="008F008E" w:rsidRDefault="00AE6AD8" w:rsidP="00AE6AD8">
            <w:pPr>
              <w:pStyle w:val="ListParagraph"/>
              <w:spacing w:line="360" w:lineRule="auto"/>
            </w:pPr>
          </w:p>
          <w:p w:rsidR="00AE6AD8" w:rsidRPr="008F008E"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Direct costs – these are the costs associated with the operations of the </w:t>
            </w:r>
            <w:proofErr w:type="spellStart"/>
            <w:r w:rsidRPr="008F008E">
              <w:rPr>
                <w:rFonts w:asciiTheme="minorHAnsi" w:hAnsiTheme="minorHAnsi"/>
                <w:color w:val="auto"/>
                <w:sz w:val="22"/>
                <w:szCs w:val="22"/>
              </w:rPr>
              <w:t>organisation</w:t>
            </w:r>
            <w:proofErr w:type="spellEnd"/>
            <w:r w:rsidRPr="008F008E">
              <w:rPr>
                <w:rFonts w:asciiTheme="minorHAnsi" w:hAnsiTheme="minorHAnsi"/>
                <w:color w:val="auto"/>
                <w:sz w:val="22"/>
                <w:szCs w:val="22"/>
              </w:rPr>
              <w:t xml:space="preserve"> (wages, materials, utilities, overheads etc.)</w:t>
            </w:r>
          </w:p>
          <w:p w:rsidR="00AE6AD8" w:rsidRPr="008F008E" w:rsidRDefault="00AE6AD8" w:rsidP="00AE6AD8">
            <w:pPr>
              <w:pStyle w:val="ListParagraph"/>
              <w:spacing w:line="360" w:lineRule="auto"/>
            </w:pPr>
          </w:p>
          <w:p w:rsidR="00AE6AD8" w:rsidRPr="00706F1F" w:rsidRDefault="00AE6AD8" w:rsidP="00AE6AD8">
            <w:pPr>
              <w:pStyle w:val="Default"/>
              <w:numPr>
                <w:ilvl w:val="0"/>
                <w:numId w:val="9"/>
              </w:numPr>
              <w:spacing w:line="360" w:lineRule="auto"/>
              <w:rPr>
                <w:rFonts w:asciiTheme="minorHAnsi" w:hAnsiTheme="minorHAnsi"/>
                <w:color w:val="auto"/>
                <w:sz w:val="22"/>
                <w:szCs w:val="22"/>
              </w:rPr>
            </w:pPr>
            <w:r w:rsidRPr="008F008E">
              <w:rPr>
                <w:rFonts w:asciiTheme="minorHAnsi" w:hAnsiTheme="minorHAnsi"/>
                <w:color w:val="auto"/>
                <w:sz w:val="22"/>
                <w:szCs w:val="22"/>
              </w:rPr>
              <w:t xml:space="preserve">Indirect costs – these are the indirect costs associated with the </w:t>
            </w:r>
            <w:proofErr w:type="spellStart"/>
            <w:r w:rsidRPr="008F008E">
              <w:rPr>
                <w:rFonts w:asciiTheme="minorHAnsi" w:hAnsiTheme="minorHAnsi"/>
                <w:color w:val="auto"/>
                <w:sz w:val="22"/>
                <w:szCs w:val="22"/>
              </w:rPr>
              <w:t>organisations</w:t>
            </w:r>
            <w:proofErr w:type="spellEnd"/>
            <w:r w:rsidRPr="008F008E">
              <w:rPr>
                <w:rFonts w:asciiTheme="minorHAnsi" w:hAnsiTheme="minorHAnsi"/>
                <w:color w:val="auto"/>
                <w:sz w:val="22"/>
                <w:szCs w:val="22"/>
              </w:rPr>
              <w:t xml:space="preserve"> operations (taxes, insurance, social commitments etc.) </w:t>
            </w:r>
          </w:p>
          <w:p w:rsidR="00AE6AD8" w:rsidRPr="00490A4E" w:rsidRDefault="00AE6AD8" w:rsidP="00AE6AD8">
            <w:pPr>
              <w:pStyle w:val="Default"/>
              <w:spacing w:line="360" w:lineRule="auto"/>
              <w:rPr>
                <w:rFonts w:asciiTheme="minorHAnsi" w:hAnsiTheme="minorHAnsi"/>
                <w:color w:val="auto"/>
                <w:sz w:val="22"/>
                <w:szCs w:val="22"/>
              </w:rPr>
            </w:pPr>
          </w:p>
          <w:p w:rsidR="00AE6AD8" w:rsidRPr="008F008E" w:rsidRDefault="00AE6AD8" w:rsidP="00AE6AD8">
            <w:pPr>
              <w:pStyle w:val="Default"/>
              <w:numPr>
                <w:ilvl w:val="0"/>
                <w:numId w:val="2"/>
              </w:numPr>
              <w:spacing w:line="360" w:lineRule="auto"/>
              <w:rPr>
                <w:sz w:val="22"/>
                <w:szCs w:val="22"/>
              </w:rPr>
            </w:pPr>
            <w:r w:rsidRPr="008F008E">
              <w:rPr>
                <w:color w:val="auto"/>
                <w:sz w:val="22"/>
                <w:szCs w:val="22"/>
              </w:rPr>
              <w:t xml:space="preserve">Alternatives to be considered </w:t>
            </w:r>
            <w:r>
              <w:rPr>
                <w:color w:val="auto"/>
                <w:sz w:val="22"/>
                <w:szCs w:val="22"/>
              </w:rPr>
              <w:t xml:space="preserve">when selecting new facilities </w:t>
            </w:r>
            <w:r w:rsidRPr="008F008E">
              <w:rPr>
                <w:color w:val="auto"/>
                <w:sz w:val="22"/>
                <w:szCs w:val="22"/>
              </w:rPr>
              <w:t>are:</w:t>
            </w:r>
          </w:p>
          <w:p w:rsidR="00AE6AD8" w:rsidRPr="008F008E" w:rsidRDefault="00AE6AD8" w:rsidP="00AE6AD8">
            <w:pPr>
              <w:pStyle w:val="Default"/>
              <w:spacing w:line="360" w:lineRule="auto"/>
              <w:ind w:left="1440"/>
              <w:rPr>
                <w:color w:val="FF0000"/>
                <w:sz w:val="22"/>
                <w:szCs w:val="22"/>
              </w:rPr>
            </w:pPr>
          </w:p>
          <w:p w:rsidR="00AE6AD8" w:rsidRPr="008F008E" w:rsidRDefault="00AE6AD8" w:rsidP="00AE6AD8">
            <w:pPr>
              <w:pStyle w:val="Default"/>
              <w:numPr>
                <w:ilvl w:val="0"/>
                <w:numId w:val="11"/>
              </w:numPr>
              <w:spacing w:line="360" w:lineRule="auto"/>
              <w:rPr>
                <w:sz w:val="22"/>
                <w:szCs w:val="22"/>
              </w:rPr>
            </w:pPr>
            <w:r w:rsidRPr="008F008E">
              <w:rPr>
                <w:sz w:val="22"/>
                <w:szCs w:val="22"/>
              </w:rPr>
              <w:t>Expansion into new geographical areas</w:t>
            </w:r>
          </w:p>
          <w:p w:rsidR="00AE6AD8" w:rsidRPr="008F008E" w:rsidRDefault="00AE6AD8" w:rsidP="00AE6AD8">
            <w:pPr>
              <w:pStyle w:val="Default"/>
              <w:numPr>
                <w:ilvl w:val="0"/>
                <w:numId w:val="11"/>
              </w:numPr>
              <w:spacing w:line="360" w:lineRule="auto"/>
              <w:rPr>
                <w:sz w:val="22"/>
                <w:szCs w:val="22"/>
              </w:rPr>
            </w:pPr>
            <w:r w:rsidRPr="008F008E">
              <w:rPr>
                <w:sz w:val="22"/>
                <w:szCs w:val="22"/>
              </w:rPr>
              <w:t>Changes in site of customer and suppliers</w:t>
            </w:r>
          </w:p>
          <w:p w:rsidR="00AE6AD8" w:rsidRPr="008F008E" w:rsidRDefault="00AE6AD8" w:rsidP="00AE6AD8">
            <w:pPr>
              <w:pStyle w:val="Default"/>
              <w:numPr>
                <w:ilvl w:val="0"/>
                <w:numId w:val="11"/>
              </w:numPr>
              <w:spacing w:line="360" w:lineRule="auto"/>
              <w:rPr>
                <w:sz w:val="22"/>
                <w:szCs w:val="22"/>
              </w:rPr>
            </w:pPr>
            <w:r w:rsidRPr="008F008E">
              <w:rPr>
                <w:sz w:val="22"/>
                <w:szCs w:val="22"/>
              </w:rPr>
              <w:t>Upgrading of facilities (like the introduction of new technologies)</w:t>
            </w:r>
          </w:p>
          <w:p w:rsidR="00AE6AD8" w:rsidRPr="008F008E" w:rsidRDefault="00AE6AD8" w:rsidP="00AE6AD8">
            <w:pPr>
              <w:pStyle w:val="Default"/>
              <w:numPr>
                <w:ilvl w:val="0"/>
                <w:numId w:val="11"/>
              </w:numPr>
              <w:spacing w:line="360" w:lineRule="auto"/>
              <w:rPr>
                <w:sz w:val="22"/>
                <w:szCs w:val="22"/>
              </w:rPr>
            </w:pPr>
            <w:r w:rsidRPr="008F008E">
              <w:rPr>
                <w:sz w:val="22"/>
                <w:szCs w:val="22"/>
              </w:rPr>
              <w:t>Changes in the transportation network (opening of new roads, bridges, tunnels etc.)</w:t>
            </w:r>
          </w:p>
          <w:p w:rsidR="00AE6AD8" w:rsidRPr="008F008E" w:rsidRDefault="00AE6AD8" w:rsidP="00AE6AD8">
            <w:pPr>
              <w:pStyle w:val="Default"/>
              <w:numPr>
                <w:ilvl w:val="0"/>
                <w:numId w:val="11"/>
              </w:numPr>
              <w:spacing w:line="360" w:lineRule="auto"/>
              <w:rPr>
                <w:sz w:val="22"/>
                <w:szCs w:val="22"/>
              </w:rPr>
            </w:pPr>
            <w:r w:rsidRPr="008F008E">
              <w:rPr>
                <w:sz w:val="22"/>
                <w:szCs w:val="22"/>
              </w:rPr>
              <w:t xml:space="preserve">Changes to operations </w:t>
            </w:r>
          </w:p>
          <w:p w:rsidR="00AE6AD8" w:rsidRPr="002C0B2A" w:rsidRDefault="00AE6AD8" w:rsidP="00AE6AD8">
            <w:pPr>
              <w:pStyle w:val="Default"/>
              <w:numPr>
                <w:ilvl w:val="0"/>
                <w:numId w:val="11"/>
              </w:numPr>
              <w:spacing w:line="360" w:lineRule="auto"/>
              <w:rPr>
                <w:sz w:val="22"/>
                <w:szCs w:val="22"/>
              </w:rPr>
            </w:pPr>
            <w:r w:rsidRPr="008F008E">
              <w:rPr>
                <w:sz w:val="22"/>
                <w:szCs w:val="22"/>
              </w:rPr>
              <w:t>Merges and acquisitions resulting in duplicate or overlapping operations</w:t>
            </w:r>
          </w:p>
          <w:p w:rsidR="00AE6AD8" w:rsidRDefault="00AE6AD8" w:rsidP="00AE6AD8">
            <w:pPr>
              <w:pStyle w:val="ListParagraph"/>
            </w:pPr>
          </w:p>
          <w:p w:rsidR="00C538EB" w:rsidRDefault="00C538EB" w:rsidP="00AE6AD8">
            <w:pPr>
              <w:pStyle w:val="ListParagraph"/>
            </w:pPr>
          </w:p>
          <w:p w:rsidR="00AE6AD8" w:rsidRPr="008F008E" w:rsidRDefault="00AE6AD8" w:rsidP="00AE6AD8">
            <w:pPr>
              <w:pStyle w:val="Default"/>
              <w:numPr>
                <w:ilvl w:val="0"/>
                <w:numId w:val="2"/>
              </w:numPr>
              <w:spacing w:line="360" w:lineRule="auto"/>
              <w:rPr>
                <w:sz w:val="22"/>
                <w:szCs w:val="22"/>
              </w:rPr>
            </w:pPr>
            <w:r w:rsidRPr="008F008E">
              <w:rPr>
                <w:color w:val="auto"/>
                <w:sz w:val="22"/>
                <w:szCs w:val="22"/>
              </w:rPr>
              <w:t xml:space="preserve">After an </w:t>
            </w:r>
            <w:proofErr w:type="spellStart"/>
            <w:r w:rsidRPr="008F008E">
              <w:rPr>
                <w:color w:val="auto"/>
                <w:sz w:val="22"/>
                <w:szCs w:val="22"/>
              </w:rPr>
              <w:t>organisation</w:t>
            </w:r>
            <w:proofErr w:type="spellEnd"/>
            <w:r w:rsidRPr="008F008E">
              <w:rPr>
                <w:color w:val="auto"/>
                <w:sz w:val="22"/>
                <w:szCs w:val="22"/>
              </w:rPr>
              <w:t xml:space="preserve"> cho</w:t>
            </w:r>
            <w:r>
              <w:rPr>
                <w:color w:val="auto"/>
                <w:sz w:val="22"/>
                <w:szCs w:val="22"/>
              </w:rPr>
              <w:t>o</w:t>
            </w:r>
            <w:r w:rsidRPr="008F008E">
              <w:rPr>
                <w:color w:val="auto"/>
                <w:sz w:val="22"/>
                <w:szCs w:val="22"/>
              </w:rPr>
              <w:t>ses the geographical region and country, it has to go further down into the area and individual sites locations as well. On such method</w:t>
            </w:r>
            <w:r>
              <w:rPr>
                <w:color w:val="auto"/>
                <w:sz w:val="22"/>
                <w:szCs w:val="22"/>
              </w:rPr>
              <w:t xml:space="preserve"> used,</w:t>
            </w:r>
            <w:r w:rsidRPr="008F008E">
              <w:rPr>
                <w:color w:val="auto"/>
                <w:sz w:val="22"/>
                <w:szCs w:val="22"/>
              </w:rPr>
              <w:t xml:space="preserve"> is the feasible set approach.  </w:t>
            </w:r>
          </w:p>
          <w:p w:rsidR="00AE6AD8" w:rsidRDefault="00AE6AD8" w:rsidP="00AE6AD8">
            <w:pPr>
              <w:pStyle w:val="Default"/>
              <w:spacing w:line="360" w:lineRule="auto"/>
              <w:ind w:left="1440"/>
              <w:rPr>
                <w:color w:val="FF0000"/>
                <w:sz w:val="22"/>
                <w:szCs w:val="22"/>
              </w:rPr>
            </w:pPr>
          </w:p>
          <w:p w:rsidR="00AE6AD8" w:rsidRDefault="00AE6AD8" w:rsidP="00AE6AD8">
            <w:pPr>
              <w:pStyle w:val="Default"/>
              <w:spacing w:line="360" w:lineRule="auto"/>
              <w:ind w:left="1440"/>
              <w:rPr>
                <w:color w:val="auto"/>
                <w:sz w:val="22"/>
                <w:szCs w:val="22"/>
              </w:rPr>
            </w:pPr>
            <w:r>
              <w:rPr>
                <w:color w:val="auto"/>
                <w:sz w:val="22"/>
                <w:szCs w:val="22"/>
              </w:rPr>
              <w:t xml:space="preserve">The feasible set approach assumes that the </w:t>
            </w:r>
            <w:proofErr w:type="spellStart"/>
            <w:r>
              <w:rPr>
                <w:color w:val="auto"/>
                <w:sz w:val="22"/>
                <w:szCs w:val="22"/>
              </w:rPr>
              <w:t>organisation</w:t>
            </w:r>
            <w:proofErr w:type="spellEnd"/>
            <w:r>
              <w:rPr>
                <w:color w:val="auto"/>
                <w:sz w:val="22"/>
                <w:szCs w:val="22"/>
              </w:rPr>
              <w:t xml:space="preserve"> only has a small number of feasible sites and has to choose the best from the available set. This is achieved by comparing the costs associated to each site such as operating costs, overheads, costs of moving materials inwards from suppliers, costs of moving materials outwards to customers etc. </w:t>
            </w:r>
          </w:p>
          <w:p w:rsidR="00AE6AD8" w:rsidRDefault="00AE6AD8" w:rsidP="00AE6AD8">
            <w:pPr>
              <w:pStyle w:val="Default"/>
              <w:spacing w:line="360" w:lineRule="auto"/>
              <w:ind w:left="1440"/>
              <w:rPr>
                <w:color w:val="auto"/>
                <w:sz w:val="22"/>
                <w:szCs w:val="22"/>
              </w:rPr>
            </w:pPr>
          </w:p>
          <w:p w:rsidR="00AE6AD8" w:rsidRDefault="00AE6AD8" w:rsidP="00AE6AD8">
            <w:pPr>
              <w:pStyle w:val="Default"/>
              <w:spacing w:line="360" w:lineRule="auto"/>
              <w:ind w:left="1440"/>
              <w:rPr>
                <w:color w:val="auto"/>
                <w:sz w:val="22"/>
                <w:szCs w:val="22"/>
              </w:rPr>
            </w:pPr>
            <w:r>
              <w:rPr>
                <w:color w:val="auto"/>
                <w:sz w:val="22"/>
                <w:szCs w:val="22"/>
              </w:rPr>
              <w:t xml:space="preserve">In general, a higher operating and overhead costs promote large </w:t>
            </w:r>
            <w:proofErr w:type="spellStart"/>
            <w:r>
              <w:rPr>
                <w:color w:val="auto"/>
                <w:sz w:val="22"/>
                <w:szCs w:val="22"/>
              </w:rPr>
              <w:t>centralised</w:t>
            </w:r>
            <w:proofErr w:type="spellEnd"/>
            <w:r>
              <w:rPr>
                <w:color w:val="auto"/>
                <w:sz w:val="22"/>
                <w:szCs w:val="22"/>
              </w:rPr>
              <w:t xml:space="preserve"> facilities that can offer economies of scale; higher costs of inward transportation promotes facilities that are closer to main suppliers and higher costs of outward transportation promote </w:t>
            </w:r>
            <w:proofErr w:type="spellStart"/>
            <w:r>
              <w:rPr>
                <w:color w:val="auto"/>
                <w:sz w:val="22"/>
                <w:szCs w:val="22"/>
              </w:rPr>
              <w:t>decentralised</w:t>
            </w:r>
            <w:proofErr w:type="spellEnd"/>
            <w:r>
              <w:rPr>
                <w:color w:val="auto"/>
                <w:sz w:val="22"/>
                <w:szCs w:val="22"/>
              </w:rPr>
              <w:t xml:space="preserve"> (smaller dispersed) facilities near customers.</w:t>
            </w:r>
          </w:p>
          <w:p w:rsidR="00C538EB" w:rsidRPr="00214041" w:rsidRDefault="00C538EB" w:rsidP="00AE6AD8">
            <w:pPr>
              <w:pStyle w:val="Default"/>
              <w:spacing w:line="360" w:lineRule="auto"/>
              <w:ind w:left="1440"/>
              <w:rPr>
                <w:color w:val="auto"/>
                <w:sz w:val="22"/>
                <w:szCs w:val="22"/>
              </w:rPr>
            </w:pPr>
          </w:p>
          <w:p w:rsidR="00AE6AD8" w:rsidRPr="008C750A" w:rsidRDefault="00AE6AD8" w:rsidP="00AE6AD8">
            <w:pPr>
              <w:pStyle w:val="ListParagraph"/>
              <w:numPr>
                <w:ilvl w:val="0"/>
                <w:numId w:val="12"/>
              </w:numPr>
              <w:spacing w:line="360" w:lineRule="auto"/>
              <w:rPr>
                <w:rFonts w:cs="Calibri"/>
              </w:rPr>
            </w:pPr>
            <w:r>
              <w:rPr>
                <w:rFonts w:cs="Calibri"/>
              </w:rPr>
              <w:t>The choice of deciding</w:t>
            </w:r>
            <w:r w:rsidRPr="008F008E">
              <w:rPr>
                <w:rFonts w:cs="Calibri"/>
              </w:rPr>
              <w:t xml:space="preserve"> the site </w:t>
            </w:r>
            <w:r>
              <w:rPr>
                <w:rFonts w:cs="Calibri"/>
              </w:rPr>
              <w:t xml:space="preserve">location for the </w:t>
            </w:r>
            <w:proofErr w:type="spellStart"/>
            <w:r>
              <w:rPr>
                <w:rFonts w:cs="Calibri"/>
              </w:rPr>
              <w:t>organisations</w:t>
            </w:r>
            <w:proofErr w:type="spellEnd"/>
            <w:r>
              <w:rPr>
                <w:rFonts w:cs="Calibri"/>
              </w:rPr>
              <w:t xml:space="preserve"> facility is a complex decision. It begins at the </w:t>
            </w:r>
            <w:r w:rsidRPr="008C750A">
              <w:rPr>
                <w:spacing w:val="-3"/>
              </w:rPr>
              <w:t xml:space="preserve">top </w:t>
            </w:r>
            <w:r>
              <w:rPr>
                <w:spacing w:val="-3"/>
              </w:rPr>
              <w:t>regarding</w:t>
            </w:r>
            <w:r w:rsidRPr="008C750A">
              <w:rPr>
                <w:spacing w:val="-3"/>
              </w:rPr>
              <w:t xml:space="preserve"> broad decisions about geographic regions, moving down to detailed decisions about individual sites.  </w:t>
            </w:r>
          </w:p>
          <w:p w:rsidR="00AE6AD8" w:rsidRDefault="00AE6AD8" w:rsidP="00AE6AD8">
            <w:pPr>
              <w:pStyle w:val="ListParagraph"/>
              <w:spacing w:line="360" w:lineRule="auto"/>
              <w:ind w:left="1440"/>
              <w:rPr>
                <w:rFonts w:cs="Calibri"/>
                <w:color w:val="FF0000"/>
              </w:rPr>
            </w:pPr>
          </w:p>
          <w:p w:rsidR="00AE6AD8" w:rsidRDefault="00AE6AD8" w:rsidP="00AE6AD8">
            <w:pPr>
              <w:pStyle w:val="ListParagraph"/>
              <w:spacing w:line="360" w:lineRule="auto"/>
              <w:ind w:left="1440"/>
              <w:rPr>
                <w:spacing w:val="-3"/>
              </w:rPr>
            </w:pPr>
            <w:r w:rsidRPr="008C750A">
              <w:rPr>
                <w:spacing w:val="-3"/>
              </w:rPr>
              <w:t>T</w:t>
            </w:r>
            <w:r>
              <w:rPr>
                <w:spacing w:val="-3"/>
              </w:rPr>
              <w:t>he above can be decomposed into the following  5 step process</w:t>
            </w:r>
            <w:r w:rsidRPr="008C750A">
              <w:rPr>
                <w:spacing w:val="-3"/>
              </w:rPr>
              <w:t>:</w:t>
            </w:r>
          </w:p>
          <w:p w:rsidR="00AE6AD8" w:rsidRDefault="00AE6AD8" w:rsidP="00AE6AD8">
            <w:pPr>
              <w:pStyle w:val="ListParagraph"/>
              <w:spacing w:line="360" w:lineRule="auto"/>
              <w:ind w:left="1440"/>
              <w:rPr>
                <w:spacing w:val="-3"/>
              </w:rPr>
            </w:pPr>
          </w:p>
          <w:p w:rsidR="00AE6AD8" w:rsidRPr="000E7EF0" w:rsidRDefault="00AE6AD8" w:rsidP="00AE6AD8">
            <w:pPr>
              <w:pStyle w:val="ListParagraph"/>
              <w:numPr>
                <w:ilvl w:val="0"/>
                <w:numId w:val="13"/>
              </w:numPr>
              <w:spacing w:line="360" w:lineRule="auto"/>
              <w:rPr>
                <w:rFonts w:cs="Calibri"/>
              </w:rPr>
            </w:pPr>
            <w:r>
              <w:rPr>
                <w:spacing w:val="-3"/>
              </w:rPr>
              <w:t xml:space="preserve">Step 1 - identify the features </w:t>
            </w:r>
            <w:r w:rsidRPr="00FE5078">
              <w:rPr>
                <w:spacing w:val="-3"/>
              </w:rPr>
              <w:t>needed in a new location and identify regions and countries that can best supply these</w:t>
            </w:r>
          </w:p>
          <w:p w:rsidR="00AE6AD8" w:rsidRPr="000E7EF0" w:rsidRDefault="00AE6AD8" w:rsidP="00AE6AD8">
            <w:pPr>
              <w:pStyle w:val="ListParagraph"/>
              <w:spacing w:line="360" w:lineRule="auto"/>
              <w:ind w:left="2160"/>
              <w:rPr>
                <w:rFonts w:cs="Calibri"/>
              </w:rPr>
            </w:pPr>
          </w:p>
          <w:p w:rsidR="00AE6AD8" w:rsidRPr="000E7EF0" w:rsidRDefault="00AE6AD8" w:rsidP="00AE6AD8">
            <w:pPr>
              <w:pStyle w:val="ListParagraph"/>
              <w:numPr>
                <w:ilvl w:val="0"/>
                <w:numId w:val="13"/>
              </w:numPr>
              <w:spacing w:line="360" w:lineRule="auto"/>
              <w:rPr>
                <w:rFonts w:cs="Calibri"/>
              </w:rPr>
            </w:pPr>
            <w:r>
              <w:rPr>
                <w:spacing w:val="-3"/>
              </w:rPr>
              <w:t xml:space="preserve">Step 2 - </w:t>
            </w:r>
            <w:r w:rsidRPr="000E7EF0">
              <w:rPr>
                <w:spacing w:val="-3"/>
              </w:rPr>
              <w:t>Use an infinite set method to find the best area within this region</w:t>
            </w:r>
          </w:p>
          <w:p w:rsidR="00AE6AD8" w:rsidRPr="000E7EF0" w:rsidRDefault="00AE6AD8" w:rsidP="00AE6AD8">
            <w:pPr>
              <w:pStyle w:val="ListParagraph"/>
              <w:rPr>
                <w:rFonts w:cs="Calibri"/>
              </w:rPr>
            </w:pPr>
          </w:p>
          <w:p w:rsidR="00AE6AD8" w:rsidRPr="000E7EF0" w:rsidRDefault="00AE6AD8" w:rsidP="00AE6AD8">
            <w:pPr>
              <w:pStyle w:val="ListParagraph"/>
              <w:numPr>
                <w:ilvl w:val="0"/>
                <w:numId w:val="13"/>
              </w:numPr>
              <w:spacing w:line="360" w:lineRule="auto"/>
              <w:rPr>
                <w:rFonts w:cs="Calibri"/>
              </w:rPr>
            </w:pPr>
            <w:r>
              <w:rPr>
                <w:rFonts w:cs="Calibri"/>
              </w:rPr>
              <w:t xml:space="preserve">Step 3 - </w:t>
            </w:r>
            <w:r w:rsidRPr="000E7EF0">
              <w:rPr>
                <w:spacing w:val="-3"/>
              </w:rPr>
              <w:t>Search around this area to find a set of alternative locations</w:t>
            </w:r>
          </w:p>
          <w:p w:rsidR="00AE6AD8" w:rsidRPr="000E7EF0" w:rsidRDefault="00AE6AD8" w:rsidP="00AE6AD8">
            <w:pPr>
              <w:pStyle w:val="ListParagraph"/>
              <w:rPr>
                <w:rFonts w:cs="Calibri"/>
              </w:rPr>
            </w:pPr>
          </w:p>
          <w:p w:rsidR="00AE6AD8" w:rsidRPr="000E7EF0" w:rsidRDefault="00AE6AD8" w:rsidP="00AE6AD8">
            <w:pPr>
              <w:pStyle w:val="ListParagraph"/>
              <w:numPr>
                <w:ilvl w:val="0"/>
                <w:numId w:val="13"/>
              </w:numPr>
              <w:spacing w:line="360" w:lineRule="auto"/>
              <w:rPr>
                <w:rFonts w:cs="Calibri"/>
              </w:rPr>
            </w:pPr>
            <w:r>
              <w:rPr>
                <w:rFonts w:cs="Calibri"/>
              </w:rPr>
              <w:t xml:space="preserve">Step 4 - </w:t>
            </w:r>
            <w:r w:rsidRPr="000E7EF0">
              <w:rPr>
                <w:spacing w:val="-3"/>
              </w:rPr>
              <w:t>Use a feasible set method to compare these alternatives</w:t>
            </w:r>
          </w:p>
          <w:p w:rsidR="00AE6AD8" w:rsidRPr="000E7EF0" w:rsidRDefault="00AE6AD8" w:rsidP="00AE6AD8">
            <w:pPr>
              <w:pStyle w:val="ListParagraph"/>
              <w:rPr>
                <w:rFonts w:cs="Calibri"/>
              </w:rPr>
            </w:pPr>
          </w:p>
          <w:p w:rsidR="00AE6AD8" w:rsidRPr="000E7EF0" w:rsidRDefault="00AE6AD8" w:rsidP="00AE6AD8">
            <w:pPr>
              <w:pStyle w:val="ListParagraph"/>
              <w:numPr>
                <w:ilvl w:val="0"/>
                <w:numId w:val="13"/>
              </w:numPr>
              <w:spacing w:line="360" w:lineRule="auto"/>
              <w:rPr>
                <w:rFonts w:cs="Calibri"/>
              </w:rPr>
            </w:pPr>
            <w:r>
              <w:rPr>
                <w:rFonts w:cs="Calibri"/>
              </w:rPr>
              <w:t xml:space="preserve">Step 5 - </w:t>
            </w:r>
            <w:r w:rsidRPr="000E7EF0">
              <w:rPr>
                <w:spacing w:val="-3"/>
              </w:rPr>
              <w:t>Discuss all available information and come to a decision</w:t>
            </w:r>
          </w:p>
          <w:p w:rsidR="00AE6AD8" w:rsidRDefault="00AE6AD8" w:rsidP="00AE6AD8">
            <w:pPr>
              <w:pStyle w:val="ListParagraph"/>
              <w:spacing w:line="360" w:lineRule="auto"/>
              <w:rPr>
                <w:rFonts w:cs="Calibri"/>
              </w:rPr>
            </w:pPr>
          </w:p>
          <w:p w:rsidR="00AE6AD8" w:rsidRDefault="00AE6AD8" w:rsidP="00AE6AD8">
            <w:pPr>
              <w:pStyle w:val="ListParagraph"/>
              <w:spacing w:line="360" w:lineRule="auto"/>
              <w:rPr>
                <w:rFonts w:cs="Calibri"/>
              </w:rPr>
            </w:pPr>
          </w:p>
          <w:p w:rsidR="001430A7" w:rsidRPr="00AE6AD8" w:rsidRDefault="001430A7" w:rsidP="00AE6AD8">
            <w:pPr>
              <w:spacing w:line="360" w:lineRule="auto"/>
              <w:rPr>
                <w:rFonts w:cs="Calibri"/>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w:t>
      </w:r>
      <w:bookmarkStart w:id="0" w:name="_GoBack"/>
      <w:bookmarkEnd w:id="0"/>
      <w:r>
        <w:rPr>
          <w:rFonts w:cs="CalvertMT-Bold"/>
          <w:b/>
          <w:bCs/>
          <w:color w:val="002060"/>
          <w:sz w:val="28"/>
          <w:lang w:val="en-US"/>
        </w:rPr>
        <w:t>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6AD8" w:rsidP="00A851DA">
            <w:pPr>
              <w:rPr>
                <w:rFonts w:cs="Bliss-Regular"/>
                <w:color w:val="000000"/>
              </w:rPr>
            </w:pPr>
            <w:r>
              <w:rPr>
                <w:rFonts w:cs="Bliss-Regular"/>
                <w:color w:val="000000"/>
              </w:rPr>
              <w:t>09</w:t>
            </w:r>
            <w:r w:rsidR="00134E52">
              <w:rPr>
                <w:rFonts w:cs="Bliss-Regular"/>
                <w:color w:val="000000"/>
              </w:rPr>
              <w:t>/03</w:t>
            </w:r>
            <w:r w:rsidR="007A68D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1D6" w:rsidRDefault="00ED11D6" w:rsidP="00CB4D0A">
      <w:pPr>
        <w:spacing w:after="0" w:line="240" w:lineRule="auto"/>
      </w:pPr>
      <w:r>
        <w:separator/>
      </w:r>
    </w:p>
  </w:endnote>
  <w:endnote w:type="continuationSeparator" w:id="0">
    <w:p w:rsidR="00ED11D6" w:rsidRDefault="00ED11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1D6" w:rsidRDefault="00ED11D6" w:rsidP="00CB4D0A">
      <w:pPr>
        <w:spacing w:after="0" w:line="240" w:lineRule="auto"/>
      </w:pPr>
      <w:r>
        <w:separator/>
      </w:r>
    </w:p>
  </w:footnote>
  <w:footnote w:type="continuationSeparator" w:id="0">
    <w:p w:rsidR="00ED11D6" w:rsidRDefault="00ED11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62B0"/>
    <w:multiLevelType w:val="hybridMultilevel"/>
    <w:tmpl w:val="6A66351A"/>
    <w:lvl w:ilvl="0" w:tplc="6E8ED064">
      <w:start w:val="2"/>
      <w:numFmt w:val="decimal"/>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1F6B7630"/>
    <w:multiLevelType w:val="hybridMultilevel"/>
    <w:tmpl w:val="CB08A60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
    <w:nsid w:val="2EF11EF0"/>
    <w:multiLevelType w:val="hybridMultilevel"/>
    <w:tmpl w:val="3B4086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38D62450"/>
    <w:multiLevelType w:val="hybridMultilevel"/>
    <w:tmpl w:val="74CC1F24"/>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4">
    <w:nsid w:val="50644727"/>
    <w:multiLevelType w:val="hybridMultilevel"/>
    <w:tmpl w:val="DB340B8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53384376"/>
    <w:multiLevelType w:val="hybridMultilevel"/>
    <w:tmpl w:val="8AF08F84"/>
    <w:lvl w:ilvl="0" w:tplc="1C090005">
      <w:start w:val="1"/>
      <w:numFmt w:val="bullet"/>
      <w:lvlText w:val=""/>
      <w:lvlJc w:val="left"/>
      <w:pPr>
        <w:ind w:left="2940" w:hanging="360"/>
      </w:pPr>
      <w:rPr>
        <w:rFonts w:ascii="Wingdings" w:hAnsi="Wingdings" w:hint="default"/>
      </w:rPr>
    </w:lvl>
    <w:lvl w:ilvl="1" w:tplc="1C090003" w:tentative="1">
      <w:start w:val="1"/>
      <w:numFmt w:val="bullet"/>
      <w:lvlText w:val="o"/>
      <w:lvlJc w:val="left"/>
      <w:pPr>
        <w:ind w:left="3660" w:hanging="360"/>
      </w:pPr>
      <w:rPr>
        <w:rFonts w:ascii="Courier New" w:hAnsi="Courier New" w:cs="Courier New" w:hint="default"/>
      </w:rPr>
    </w:lvl>
    <w:lvl w:ilvl="2" w:tplc="1C090005" w:tentative="1">
      <w:start w:val="1"/>
      <w:numFmt w:val="bullet"/>
      <w:lvlText w:val=""/>
      <w:lvlJc w:val="left"/>
      <w:pPr>
        <w:ind w:left="4380" w:hanging="360"/>
      </w:pPr>
      <w:rPr>
        <w:rFonts w:ascii="Wingdings" w:hAnsi="Wingdings" w:hint="default"/>
      </w:rPr>
    </w:lvl>
    <w:lvl w:ilvl="3" w:tplc="1C090001" w:tentative="1">
      <w:start w:val="1"/>
      <w:numFmt w:val="bullet"/>
      <w:lvlText w:val=""/>
      <w:lvlJc w:val="left"/>
      <w:pPr>
        <w:ind w:left="5100" w:hanging="360"/>
      </w:pPr>
      <w:rPr>
        <w:rFonts w:ascii="Symbol" w:hAnsi="Symbol" w:hint="default"/>
      </w:rPr>
    </w:lvl>
    <w:lvl w:ilvl="4" w:tplc="1C090003" w:tentative="1">
      <w:start w:val="1"/>
      <w:numFmt w:val="bullet"/>
      <w:lvlText w:val="o"/>
      <w:lvlJc w:val="left"/>
      <w:pPr>
        <w:ind w:left="5820" w:hanging="360"/>
      </w:pPr>
      <w:rPr>
        <w:rFonts w:ascii="Courier New" w:hAnsi="Courier New" w:cs="Courier New" w:hint="default"/>
      </w:rPr>
    </w:lvl>
    <w:lvl w:ilvl="5" w:tplc="1C090005" w:tentative="1">
      <w:start w:val="1"/>
      <w:numFmt w:val="bullet"/>
      <w:lvlText w:val=""/>
      <w:lvlJc w:val="left"/>
      <w:pPr>
        <w:ind w:left="6540" w:hanging="360"/>
      </w:pPr>
      <w:rPr>
        <w:rFonts w:ascii="Wingdings" w:hAnsi="Wingdings" w:hint="default"/>
      </w:rPr>
    </w:lvl>
    <w:lvl w:ilvl="6" w:tplc="1C090001" w:tentative="1">
      <w:start w:val="1"/>
      <w:numFmt w:val="bullet"/>
      <w:lvlText w:val=""/>
      <w:lvlJc w:val="left"/>
      <w:pPr>
        <w:ind w:left="7260" w:hanging="360"/>
      </w:pPr>
      <w:rPr>
        <w:rFonts w:ascii="Symbol" w:hAnsi="Symbol" w:hint="default"/>
      </w:rPr>
    </w:lvl>
    <w:lvl w:ilvl="7" w:tplc="1C090003" w:tentative="1">
      <w:start w:val="1"/>
      <w:numFmt w:val="bullet"/>
      <w:lvlText w:val="o"/>
      <w:lvlJc w:val="left"/>
      <w:pPr>
        <w:ind w:left="7980" w:hanging="360"/>
      </w:pPr>
      <w:rPr>
        <w:rFonts w:ascii="Courier New" w:hAnsi="Courier New" w:cs="Courier New" w:hint="default"/>
      </w:rPr>
    </w:lvl>
    <w:lvl w:ilvl="8" w:tplc="1C090005" w:tentative="1">
      <w:start w:val="1"/>
      <w:numFmt w:val="bullet"/>
      <w:lvlText w:val=""/>
      <w:lvlJc w:val="left"/>
      <w:pPr>
        <w:ind w:left="8700" w:hanging="360"/>
      </w:pPr>
      <w:rPr>
        <w:rFonts w:ascii="Wingdings" w:hAnsi="Wingdings" w:hint="default"/>
      </w:rPr>
    </w:lvl>
  </w:abstractNum>
  <w:abstractNum w:abstractNumId="6">
    <w:nsid w:val="55B66457"/>
    <w:multiLevelType w:val="hybridMultilevel"/>
    <w:tmpl w:val="5CCA079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7">
    <w:nsid w:val="5A5C475F"/>
    <w:multiLevelType w:val="hybridMultilevel"/>
    <w:tmpl w:val="95AECD5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9">
    <w:nsid w:val="6A371D7F"/>
    <w:multiLevelType w:val="hybridMultilevel"/>
    <w:tmpl w:val="81B46C3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0">
    <w:nsid w:val="6AA80B27"/>
    <w:multiLevelType w:val="hybridMultilevel"/>
    <w:tmpl w:val="13923B54"/>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11">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nsid w:val="7B72280E"/>
    <w:multiLevelType w:val="hybridMultilevel"/>
    <w:tmpl w:val="C36A4FA4"/>
    <w:lvl w:ilvl="0" w:tplc="1C090005">
      <w:start w:val="1"/>
      <w:numFmt w:val="bullet"/>
      <w:lvlText w:val=""/>
      <w:lvlJc w:val="left"/>
      <w:pPr>
        <w:ind w:left="2880" w:hanging="360"/>
      </w:pPr>
      <w:rPr>
        <w:rFonts w:ascii="Wingdings" w:hAnsi="Wingdings"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num w:numId="1">
    <w:abstractNumId w:val="11"/>
  </w:num>
  <w:num w:numId="2">
    <w:abstractNumId w:val="8"/>
  </w:num>
  <w:num w:numId="3">
    <w:abstractNumId w:val="1"/>
  </w:num>
  <w:num w:numId="4">
    <w:abstractNumId w:val="10"/>
  </w:num>
  <w:num w:numId="5">
    <w:abstractNumId w:val="5"/>
  </w:num>
  <w:num w:numId="6">
    <w:abstractNumId w:val="2"/>
  </w:num>
  <w:num w:numId="7">
    <w:abstractNumId w:val="3"/>
  </w:num>
  <w:num w:numId="8">
    <w:abstractNumId w:val="7"/>
  </w:num>
  <w:num w:numId="9">
    <w:abstractNumId w:val="6"/>
  </w:num>
  <w:num w:numId="10">
    <w:abstractNumId w:val="12"/>
  </w:num>
  <w:num w:numId="11">
    <w:abstractNumId w:val="9"/>
  </w:num>
  <w:num w:numId="12">
    <w:abstractNumId w:val="0"/>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B3807"/>
    <w:rsid w:val="000D21D2"/>
    <w:rsid w:val="000E0320"/>
    <w:rsid w:val="0010791D"/>
    <w:rsid w:val="001175EE"/>
    <w:rsid w:val="00134E52"/>
    <w:rsid w:val="001430A7"/>
    <w:rsid w:val="00153C27"/>
    <w:rsid w:val="00157CF6"/>
    <w:rsid w:val="00182416"/>
    <w:rsid w:val="00182F70"/>
    <w:rsid w:val="00187EB4"/>
    <w:rsid w:val="001A3AEC"/>
    <w:rsid w:val="001F0481"/>
    <w:rsid w:val="00200C92"/>
    <w:rsid w:val="00201251"/>
    <w:rsid w:val="0020451E"/>
    <w:rsid w:val="00206B9D"/>
    <w:rsid w:val="00207C99"/>
    <w:rsid w:val="0023259C"/>
    <w:rsid w:val="00247BD9"/>
    <w:rsid w:val="00286BA0"/>
    <w:rsid w:val="002B0BD7"/>
    <w:rsid w:val="002B573D"/>
    <w:rsid w:val="002C5CB2"/>
    <w:rsid w:val="002F779F"/>
    <w:rsid w:val="003669D1"/>
    <w:rsid w:val="00367A0D"/>
    <w:rsid w:val="00371885"/>
    <w:rsid w:val="003E2B87"/>
    <w:rsid w:val="003F641E"/>
    <w:rsid w:val="00402786"/>
    <w:rsid w:val="00405895"/>
    <w:rsid w:val="004058DF"/>
    <w:rsid w:val="004316F0"/>
    <w:rsid w:val="00432938"/>
    <w:rsid w:val="00443E6F"/>
    <w:rsid w:val="00447153"/>
    <w:rsid w:val="0045562A"/>
    <w:rsid w:val="004678D4"/>
    <w:rsid w:val="00467E81"/>
    <w:rsid w:val="00486F1A"/>
    <w:rsid w:val="004878AC"/>
    <w:rsid w:val="00490CB9"/>
    <w:rsid w:val="004A2CE2"/>
    <w:rsid w:val="004C4712"/>
    <w:rsid w:val="004E3CDA"/>
    <w:rsid w:val="004F4B4D"/>
    <w:rsid w:val="0050216D"/>
    <w:rsid w:val="00503D7E"/>
    <w:rsid w:val="0050778F"/>
    <w:rsid w:val="00527C11"/>
    <w:rsid w:val="00532EB0"/>
    <w:rsid w:val="00535F31"/>
    <w:rsid w:val="00574D64"/>
    <w:rsid w:val="00591365"/>
    <w:rsid w:val="005A28E6"/>
    <w:rsid w:val="005A326F"/>
    <w:rsid w:val="005B31E4"/>
    <w:rsid w:val="005C27E2"/>
    <w:rsid w:val="006034F6"/>
    <w:rsid w:val="00607874"/>
    <w:rsid w:val="00607E77"/>
    <w:rsid w:val="00617BB3"/>
    <w:rsid w:val="00620BF0"/>
    <w:rsid w:val="00633A5D"/>
    <w:rsid w:val="00645CDD"/>
    <w:rsid w:val="00661FE8"/>
    <w:rsid w:val="00673521"/>
    <w:rsid w:val="006823A7"/>
    <w:rsid w:val="00686BC8"/>
    <w:rsid w:val="00687EE8"/>
    <w:rsid w:val="0069507A"/>
    <w:rsid w:val="0069704C"/>
    <w:rsid w:val="0070347F"/>
    <w:rsid w:val="0070678E"/>
    <w:rsid w:val="007731CA"/>
    <w:rsid w:val="007812E6"/>
    <w:rsid w:val="00784A9C"/>
    <w:rsid w:val="00794822"/>
    <w:rsid w:val="007A68D6"/>
    <w:rsid w:val="008069B4"/>
    <w:rsid w:val="00814D7A"/>
    <w:rsid w:val="008257EE"/>
    <w:rsid w:val="00831C11"/>
    <w:rsid w:val="00893A9A"/>
    <w:rsid w:val="00895BA9"/>
    <w:rsid w:val="008A60B4"/>
    <w:rsid w:val="008A70A0"/>
    <w:rsid w:val="008B3C31"/>
    <w:rsid w:val="008B64FE"/>
    <w:rsid w:val="008F0E3C"/>
    <w:rsid w:val="009276FD"/>
    <w:rsid w:val="00935BF7"/>
    <w:rsid w:val="009436F3"/>
    <w:rsid w:val="00943FCE"/>
    <w:rsid w:val="0095442C"/>
    <w:rsid w:val="00983942"/>
    <w:rsid w:val="009C37E0"/>
    <w:rsid w:val="009D06E3"/>
    <w:rsid w:val="009E41F4"/>
    <w:rsid w:val="00A01983"/>
    <w:rsid w:val="00A1382B"/>
    <w:rsid w:val="00A14B66"/>
    <w:rsid w:val="00A65CF7"/>
    <w:rsid w:val="00A81AB4"/>
    <w:rsid w:val="00A851DA"/>
    <w:rsid w:val="00A9717C"/>
    <w:rsid w:val="00AC7D5B"/>
    <w:rsid w:val="00AE1481"/>
    <w:rsid w:val="00AE6AD8"/>
    <w:rsid w:val="00B0415E"/>
    <w:rsid w:val="00B04678"/>
    <w:rsid w:val="00B5034F"/>
    <w:rsid w:val="00B70BFD"/>
    <w:rsid w:val="00BB54A5"/>
    <w:rsid w:val="00BC46DF"/>
    <w:rsid w:val="00C03577"/>
    <w:rsid w:val="00C25E97"/>
    <w:rsid w:val="00C43807"/>
    <w:rsid w:val="00C53029"/>
    <w:rsid w:val="00C538EB"/>
    <w:rsid w:val="00C54774"/>
    <w:rsid w:val="00C65FEA"/>
    <w:rsid w:val="00CA0AC2"/>
    <w:rsid w:val="00CB4D0A"/>
    <w:rsid w:val="00CC0A0F"/>
    <w:rsid w:val="00CC2FB3"/>
    <w:rsid w:val="00CC575A"/>
    <w:rsid w:val="00CD4C6B"/>
    <w:rsid w:val="00CF123B"/>
    <w:rsid w:val="00D021C2"/>
    <w:rsid w:val="00D039AC"/>
    <w:rsid w:val="00D22C71"/>
    <w:rsid w:val="00D300E6"/>
    <w:rsid w:val="00D427DE"/>
    <w:rsid w:val="00D5587D"/>
    <w:rsid w:val="00D707CC"/>
    <w:rsid w:val="00D821FE"/>
    <w:rsid w:val="00DB0793"/>
    <w:rsid w:val="00DB0C14"/>
    <w:rsid w:val="00E00821"/>
    <w:rsid w:val="00E04DB4"/>
    <w:rsid w:val="00E15001"/>
    <w:rsid w:val="00E248E6"/>
    <w:rsid w:val="00E24BCC"/>
    <w:rsid w:val="00E30679"/>
    <w:rsid w:val="00E4597D"/>
    <w:rsid w:val="00E54832"/>
    <w:rsid w:val="00E55F98"/>
    <w:rsid w:val="00E56A90"/>
    <w:rsid w:val="00E641CC"/>
    <w:rsid w:val="00EA30AB"/>
    <w:rsid w:val="00EB3925"/>
    <w:rsid w:val="00ED11D6"/>
    <w:rsid w:val="00ED6B55"/>
    <w:rsid w:val="00F01E0E"/>
    <w:rsid w:val="00F201A1"/>
    <w:rsid w:val="00F34DD0"/>
    <w:rsid w:val="00F41ACB"/>
    <w:rsid w:val="00F47503"/>
    <w:rsid w:val="00F517EB"/>
    <w:rsid w:val="00F96EB3"/>
    <w:rsid w:val="00FA08AA"/>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219031">
      <w:bodyDiv w:val="1"/>
      <w:marLeft w:val="0"/>
      <w:marRight w:val="0"/>
      <w:marTop w:val="0"/>
      <w:marBottom w:val="0"/>
      <w:divBdr>
        <w:top w:val="none" w:sz="0" w:space="0" w:color="auto"/>
        <w:left w:val="none" w:sz="0" w:space="0" w:color="auto"/>
        <w:bottom w:val="none" w:sz="0" w:space="0" w:color="auto"/>
        <w:right w:val="none" w:sz="0" w:space="0" w:color="auto"/>
      </w:divBdr>
    </w:div>
    <w:div w:id="1969357949">
      <w:bodyDiv w:val="1"/>
      <w:marLeft w:val="0"/>
      <w:marRight w:val="0"/>
      <w:marTop w:val="0"/>
      <w:marBottom w:val="0"/>
      <w:divBdr>
        <w:top w:val="none" w:sz="0" w:space="0" w:color="auto"/>
        <w:left w:val="none" w:sz="0" w:space="0" w:color="auto"/>
        <w:bottom w:val="none" w:sz="0" w:space="0" w:color="auto"/>
        <w:right w:val="none" w:sz="0" w:space="0" w:color="auto"/>
      </w:divBdr>
    </w:div>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3FF21-E34E-4C19-B330-C24ED3C0E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67</cp:revision>
  <dcterms:created xsi:type="dcterms:W3CDTF">2016-12-29T07:02:00Z</dcterms:created>
  <dcterms:modified xsi:type="dcterms:W3CDTF">2017-03-09T11:16:00Z</dcterms:modified>
</cp:coreProperties>
</file>