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Pr>
                <w:rFonts w:asciiTheme="minorHAnsi" w:hAnsiTheme="minorHAnsi"/>
                <w:lang w:val="sr-Latn-ME"/>
              </w:rPr>
              <w:t>Vasilić</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4D78">
            <w:pPr>
              <w:pStyle w:val="Default"/>
              <w:rPr>
                <w:rFonts w:asciiTheme="minorHAnsi" w:hAnsiTheme="minorHAnsi"/>
              </w:rPr>
            </w:pPr>
            <w:r>
              <w:rPr>
                <w:rFonts w:asciiTheme="minorHAnsi" w:hAnsiTheme="minorHAnsi"/>
              </w:rPr>
              <w:t>2472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4D78">
            <w:pPr>
              <w:pStyle w:val="Default"/>
              <w:rPr>
                <w:rFonts w:asciiTheme="minorHAnsi" w:hAnsiTheme="minorHAnsi"/>
              </w:rPr>
            </w:pPr>
            <w: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2C16" w:rsidRDefault="00CF3857" w:rsidP="008A2C16">
            <w:pPr>
              <w:autoSpaceDE w:val="0"/>
              <w:autoSpaceDN w:val="0"/>
              <w:adjustRightInd w:val="0"/>
              <w:rPr>
                <w:rFonts w:cstheme="minorHAnsi"/>
                <w:b/>
                <w:bCs/>
                <w:color w:val="C10000"/>
                <w:sz w:val="32"/>
                <w:szCs w:val="32"/>
                <w:lang w:val="sr-Cyrl-RS"/>
              </w:rPr>
            </w:pPr>
            <w:r w:rsidRPr="008A2C16">
              <w:rPr>
                <w:rFonts w:cstheme="minorHAnsi"/>
                <w:b/>
                <w:bCs/>
                <w:color w:val="C10000"/>
                <w:lang w:val="sr-Latn-RS"/>
              </w:rPr>
              <w:t xml:space="preserve">Assessment </w:t>
            </w:r>
            <w:r w:rsidR="008A2C16" w:rsidRPr="008A2C16">
              <w:rPr>
                <w:rFonts w:cstheme="minorHAnsi"/>
                <w:b/>
                <w:bCs/>
                <w:color w:val="C10000"/>
                <w:lang w:val="en-GB"/>
              </w:rPr>
              <w:t xml:space="preserve">6 - </w:t>
            </w:r>
            <w:r w:rsidR="008A2C16" w:rsidRPr="008A2C16">
              <w:rPr>
                <w:rFonts w:cstheme="minorHAnsi"/>
                <w:b/>
                <w:bCs/>
                <w:color w:val="C10000"/>
              </w:rPr>
              <w:t>Evaluating Financial and non-Financial Evidence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A2C16" w:rsidRDefault="008A2C16" w:rsidP="008A2C16">
            <w:pPr>
              <w:spacing w:line="360" w:lineRule="auto"/>
              <w:rPr>
                <w:rFonts w:ascii="Arial" w:hAnsi="Arial" w:cs="Arial"/>
                <w:color w:val="000000"/>
                <w:sz w:val="24"/>
                <w:szCs w:val="24"/>
              </w:rPr>
            </w:pPr>
            <w:r w:rsidRPr="000F5620">
              <w:rPr>
                <w:rFonts w:ascii="Arial" w:hAnsi="Arial" w:cs="Arial"/>
                <w:color w:val="000000"/>
                <w:sz w:val="24"/>
                <w:szCs w:val="24"/>
              </w:rPr>
              <w:t>1. What are the non- financial sources for the evidence?</w:t>
            </w:r>
          </w:p>
          <w:p w:rsidR="008A2C16" w:rsidRPr="000F5620" w:rsidRDefault="008A2C16" w:rsidP="008A2C16">
            <w:pPr>
              <w:spacing w:line="360" w:lineRule="auto"/>
              <w:rPr>
                <w:rFonts w:ascii="Arial" w:hAnsi="Arial" w:cs="Arial"/>
                <w:color w:val="000000"/>
                <w:sz w:val="24"/>
                <w:szCs w:val="24"/>
              </w:rPr>
            </w:pP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Evidence associated with a financial crime does not necessarily have to be of a financial nature. Although the focus of any fraud investigation is on financial evidence, it is important that auditors and investigators do not rule out the possibility of valuable non-financial evidence.</w:t>
            </w: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 xml:space="preserve">Non-financial sources of evidence range from interviews, handwriting analysis and document examination to the physiological traits of the fraudster. Physiological traits refer to the fraudster’s </w:t>
            </w:r>
            <w:proofErr w:type="spellStart"/>
            <w:r w:rsidRPr="000F5620">
              <w:rPr>
                <w:rFonts w:ascii="Arial" w:hAnsi="Arial" w:cs="Arial"/>
                <w:sz w:val="24"/>
                <w:szCs w:val="24"/>
              </w:rPr>
              <w:t>behaviour</w:t>
            </w:r>
            <w:proofErr w:type="spellEnd"/>
            <w:r w:rsidRPr="000F5620">
              <w:rPr>
                <w:rFonts w:ascii="Arial" w:hAnsi="Arial" w:cs="Arial"/>
                <w:sz w:val="24"/>
                <w:szCs w:val="24"/>
              </w:rPr>
              <w:t xml:space="preserve">, expressions, or any communication that indicates the fraudster’s involvement in the crime. The central aim of physiological techniques is to detect fraud and deception. A fraudster who is committing a crime will invariably be secretive about his/her activities and may even be using deception in appearance and communication. Physiological concepts and techniques are also important for obtaining useful information. From an educational point of view, interviewing techniques and legal aspects of an investigation are taught in arts and science schools whereas forensic accounting is taught at business schools. Generally </w:t>
            </w:r>
            <w:r w:rsidRPr="000F5620">
              <w:rPr>
                <w:rFonts w:ascii="Arial" w:hAnsi="Arial" w:cs="Arial"/>
                <w:sz w:val="24"/>
                <w:szCs w:val="24"/>
              </w:rPr>
              <w:lastRenderedPageBreak/>
              <w:t>speaking, an accounting major is not likely to possess much knowledge of subjects such as sociology, anthropology and psychology; therefore, he/she will not be familiar with the techniques required to detect deception.</w:t>
            </w:r>
          </w:p>
          <w:p w:rsidR="008A2C16" w:rsidRPr="000F5620" w:rsidRDefault="008A2C16" w:rsidP="008A2C16">
            <w:pPr>
              <w:autoSpaceDE w:val="0"/>
              <w:autoSpaceDN w:val="0"/>
              <w:adjustRightInd w:val="0"/>
              <w:spacing w:line="360" w:lineRule="auto"/>
              <w:jc w:val="both"/>
              <w:rPr>
                <w:rFonts w:ascii="Arial" w:hAnsi="Arial" w:cs="Arial"/>
                <w:sz w:val="24"/>
                <w:szCs w:val="24"/>
              </w:rPr>
            </w:pP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2. What is the importance of body language in the interviewing procedure?</w:t>
            </w:r>
          </w:p>
          <w:p w:rsidR="008A2C16" w:rsidRPr="000F5620" w:rsidRDefault="008A2C16" w:rsidP="008A2C16">
            <w:pPr>
              <w:autoSpaceDE w:val="0"/>
              <w:autoSpaceDN w:val="0"/>
              <w:adjustRightInd w:val="0"/>
              <w:spacing w:line="360" w:lineRule="auto"/>
              <w:jc w:val="both"/>
              <w:rPr>
                <w:rFonts w:ascii="Arial" w:hAnsi="Arial" w:cs="Arial"/>
                <w:sz w:val="24"/>
                <w:szCs w:val="24"/>
              </w:rPr>
            </w:pP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A person’s gestures and facial expressions are indicators of his/her emotions. Usually a person displaying these movements is unaware of them. Indicators of a person’s emotions include body language such as speed of talking, pitch of voice, crossing the arms or legs, and other such gestures.</w:t>
            </w: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 xml:space="preserve">Certain anxiety- or stress-related gestures or movements may hint at deception. Such cues include stuttering, speech errors, hesitation, increased vocal pitch, excessive blinking, pupil dilation, touching the hands or the face excessively, shrugging the shoulders, etc. However, such body language cues are not absolutes and cannot be taken as factual evidence of a person’s guilt. Studies related to body language suggest that, since the legs are further from the brain, they are harder to control than other extremities. The feet will point in the direction in which the person wants to go, ankles on knees suggest stubbornness, and tilting the head indicates friendliness. Body language differs from person to person. Due to their </w:t>
            </w:r>
            <w:proofErr w:type="spellStart"/>
            <w:r w:rsidRPr="000F5620">
              <w:rPr>
                <w:rFonts w:ascii="Arial" w:hAnsi="Arial" w:cs="Arial"/>
                <w:sz w:val="24"/>
                <w:szCs w:val="24"/>
              </w:rPr>
              <w:t>sceptical</w:t>
            </w:r>
            <w:proofErr w:type="spellEnd"/>
            <w:r w:rsidRPr="000F5620">
              <w:rPr>
                <w:rFonts w:ascii="Arial" w:hAnsi="Arial" w:cs="Arial"/>
                <w:sz w:val="24"/>
                <w:szCs w:val="24"/>
              </w:rPr>
              <w:t xml:space="preserve"> nature, auditors and forensic accountants tend to read a suspect’s body language as deceptive. Therefore, given these biases and the circumstantial nature of reading body language as a deception-detecting tool, it is not admissible in court as evidence.</w:t>
            </w:r>
          </w:p>
          <w:p w:rsidR="008A2C16" w:rsidRPr="000F5620" w:rsidRDefault="008A2C16" w:rsidP="008A2C16">
            <w:pPr>
              <w:autoSpaceDE w:val="0"/>
              <w:autoSpaceDN w:val="0"/>
              <w:adjustRightInd w:val="0"/>
              <w:spacing w:line="360" w:lineRule="auto"/>
              <w:jc w:val="both"/>
              <w:rPr>
                <w:rFonts w:ascii="Arial" w:hAnsi="Arial" w:cs="Arial"/>
                <w:sz w:val="24"/>
                <w:szCs w:val="24"/>
              </w:rPr>
            </w:pP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3. How is the SCAN Analysis used as an investigative technique?</w:t>
            </w:r>
          </w:p>
          <w:p w:rsidR="008A2C16" w:rsidRPr="000F5620" w:rsidRDefault="008A2C16" w:rsidP="008A2C16">
            <w:pPr>
              <w:autoSpaceDE w:val="0"/>
              <w:autoSpaceDN w:val="0"/>
              <w:adjustRightInd w:val="0"/>
              <w:spacing w:line="360" w:lineRule="auto"/>
              <w:jc w:val="both"/>
              <w:rPr>
                <w:rFonts w:ascii="Arial" w:hAnsi="Arial" w:cs="Arial"/>
                <w:sz w:val="24"/>
                <w:szCs w:val="24"/>
              </w:rPr>
            </w:pPr>
          </w:p>
          <w:p w:rsidR="008A2C16" w:rsidRPr="000F5620" w:rsidRDefault="008A2C16" w:rsidP="008A2C16">
            <w:pPr>
              <w:autoSpaceDE w:val="0"/>
              <w:autoSpaceDN w:val="0"/>
              <w:adjustRightInd w:val="0"/>
              <w:spacing w:line="360" w:lineRule="auto"/>
              <w:jc w:val="both"/>
              <w:rPr>
                <w:rFonts w:ascii="Arial" w:hAnsi="Arial" w:cs="Arial"/>
                <w:sz w:val="24"/>
                <w:szCs w:val="24"/>
              </w:rPr>
            </w:pPr>
            <w:r w:rsidRPr="000F5620">
              <w:rPr>
                <w:rFonts w:ascii="Arial" w:hAnsi="Arial" w:cs="Arial"/>
                <w:sz w:val="24"/>
                <w:szCs w:val="24"/>
              </w:rPr>
              <w:t xml:space="preserve">Scientific Content Analysis (SCAN) is similar to statement analysis. SCAN, like statement analysis, is aimed at detecting deception rather than determining truthfulness. It is cross-cultural, which makes it more applicable. Fraudsters tend to deceive indirectly rather than tell blatant lies. This indirect deception involves hedging, leaving out critical facts, pretending to be forgetful or ignorant, using a </w:t>
            </w:r>
            <w:r w:rsidRPr="000F5620">
              <w:rPr>
                <w:rFonts w:ascii="Arial" w:hAnsi="Arial" w:cs="Arial"/>
                <w:sz w:val="24"/>
                <w:szCs w:val="24"/>
              </w:rPr>
              <w:lastRenderedPageBreak/>
              <w:t>choice of words that distances them from the event, etc. In order to avoid making damaging statements, deceitful people use “verbal trickery”. The analyst needs an unambiguous, truthful statement from the suspect in order for SCAN to be effective. Like statement analysis, SCAN looks for a shift in pronouns and gaps in the narrative, which indicate deception. Feigning ignorance (saying “I do not know” often) is considered an attempt to conceal truthful facts, and a change in tense reflects a strong emotional response. In addition to those discussed here, SCAN uses numerous other techniques. According to some experts, it is as effective as a polygraph test. However, both polygraph tests and SCAN are investigative tools and are not legally admissible evidence.</w:t>
            </w:r>
          </w:p>
          <w:p w:rsidR="00CC2FB3" w:rsidRDefault="00CC2FB3" w:rsidP="008A2C16">
            <w:pPr>
              <w:autoSpaceDE w:val="0"/>
              <w:autoSpaceDN w:val="0"/>
              <w:adjustRightInd w:val="0"/>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2C16" w:rsidP="00A851DA">
            <w:pPr>
              <w:rPr>
                <w:rFonts w:cs="Bliss-Regular"/>
                <w:color w:val="000000"/>
              </w:rPr>
            </w:pPr>
            <w:r>
              <w:rPr>
                <w:rFonts w:cs="Bliss-Regular"/>
                <w:color w:val="000000"/>
                <w:lang w:val="sr-Latn-ME"/>
              </w:rPr>
              <w:t>21</w:t>
            </w:r>
            <w:bookmarkStart w:id="0" w:name="_GoBack"/>
            <w:bookmarkEnd w:id="0"/>
            <w:r w:rsidR="00FD6084">
              <w:rPr>
                <w:rFonts w:cs="Bliss-Regular"/>
                <w:color w:val="000000"/>
                <w:lang w:val="sr-Cyrl-RS"/>
              </w:rPr>
              <w:t>.10</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551" w:rsidRDefault="008F4551" w:rsidP="00CB4D0A">
      <w:pPr>
        <w:spacing w:after="0" w:line="240" w:lineRule="auto"/>
      </w:pPr>
      <w:r>
        <w:separator/>
      </w:r>
    </w:p>
  </w:endnote>
  <w:endnote w:type="continuationSeparator" w:id="0">
    <w:p w:rsidR="008F4551" w:rsidRDefault="008F45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551" w:rsidRDefault="008F4551" w:rsidP="00CB4D0A">
      <w:pPr>
        <w:spacing w:after="0" w:line="240" w:lineRule="auto"/>
      </w:pPr>
      <w:r>
        <w:separator/>
      </w:r>
    </w:p>
  </w:footnote>
  <w:footnote w:type="continuationSeparator" w:id="0">
    <w:p w:rsidR="008F4551" w:rsidRDefault="008F455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8A2C16" w:rsidRPr="008A2C16">
          <w:rPr>
            <w:b/>
            <w:bCs/>
            <w:noProof/>
          </w:rPr>
          <w:t>3</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0553"/>
    <w:rsid w:val="001175EE"/>
    <w:rsid w:val="00157CF6"/>
    <w:rsid w:val="001663C2"/>
    <w:rsid w:val="00173D95"/>
    <w:rsid w:val="00182416"/>
    <w:rsid w:val="00187EB4"/>
    <w:rsid w:val="001A6FE6"/>
    <w:rsid w:val="001F0481"/>
    <w:rsid w:val="00200C92"/>
    <w:rsid w:val="0020451E"/>
    <w:rsid w:val="00206B9D"/>
    <w:rsid w:val="0023259C"/>
    <w:rsid w:val="002611D2"/>
    <w:rsid w:val="002B0BD7"/>
    <w:rsid w:val="002B573D"/>
    <w:rsid w:val="002C5CB2"/>
    <w:rsid w:val="002E77B1"/>
    <w:rsid w:val="002F779F"/>
    <w:rsid w:val="00371885"/>
    <w:rsid w:val="003E2B87"/>
    <w:rsid w:val="00402786"/>
    <w:rsid w:val="00405895"/>
    <w:rsid w:val="004058DF"/>
    <w:rsid w:val="00443E6F"/>
    <w:rsid w:val="00483901"/>
    <w:rsid w:val="00486F1A"/>
    <w:rsid w:val="00490CB9"/>
    <w:rsid w:val="004A2CE2"/>
    <w:rsid w:val="004E3CDA"/>
    <w:rsid w:val="004F4B4D"/>
    <w:rsid w:val="0050216D"/>
    <w:rsid w:val="00503D7E"/>
    <w:rsid w:val="0050778F"/>
    <w:rsid w:val="00527C11"/>
    <w:rsid w:val="00535F31"/>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31C11"/>
    <w:rsid w:val="008A2C16"/>
    <w:rsid w:val="008A60B4"/>
    <w:rsid w:val="008B3C31"/>
    <w:rsid w:val="008B64FE"/>
    <w:rsid w:val="008F4551"/>
    <w:rsid w:val="00935BF7"/>
    <w:rsid w:val="00952B43"/>
    <w:rsid w:val="0095442C"/>
    <w:rsid w:val="00983942"/>
    <w:rsid w:val="009C37E0"/>
    <w:rsid w:val="009E41F4"/>
    <w:rsid w:val="00A14B66"/>
    <w:rsid w:val="00A45D0B"/>
    <w:rsid w:val="00A65CF7"/>
    <w:rsid w:val="00A81AB4"/>
    <w:rsid w:val="00A851DA"/>
    <w:rsid w:val="00AC7D5B"/>
    <w:rsid w:val="00AE1481"/>
    <w:rsid w:val="00B0415E"/>
    <w:rsid w:val="00B04678"/>
    <w:rsid w:val="00B63B37"/>
    <w:rsid w:val="00BC46DF"/>
    <w:rsid w:val="00C03577"/>
    <w:rsid w:val="00C049D8"/>
    <w:rsid w:val="00C27D23"/>
    <w:rsid w:val="00C53029"/>
    <w:rsid w:val="00C57F4F"/>
    <w:rsid w:val="00C65FEA"/>
    <w:rsid w:val="00C73527"/>
    <w:rsid w:val="00CA0AC2"/>
    <w:rsid w:val="00CB4D0A"/>
    <w:rsid w:val="00CC2FB3"/>
    <w:rsid w:val="00CC575A"/>
    <w:rsid w:val="00CF123B"/>
    <w:rsid w:val="00CF3857"/>
    <w:rsid w:val="00D039AC"/>
    <w:rsid w:val="00D427DE"/>
    <w:rsid w:val="00D5587D"/>
    <w:rsid w:val="00D64D78"/>
    <w:rsid w:val="00D707CC"/>
    <w:rsid w:val="00D821FE"/>
    <w:rsid w:val="00D85C74"/>
    <w:rsid w:val="00DB0793"/>
    <w:rsid w:val="00DB77B5"/>
    <w:rsid w:val="00DE0373"/>
    <w:rsid w:val="00DF2D73"/>
    <w:rsid w:val="00E00821"/>
    <w:rsid w:val="00E04DB4"/>
    <w:rsid w:val="00E30679"/>
    <w:rsid w:val="00E4597D"/>
    <w:rsid w:val="00E47D52"/>
    <w:rsid w:val="00E54832"/>
    <w:rsid w:val="00E56A90"/>
    <w:rsid w:val="00E641CC"/>
    <w:rsid w:val="00E931DC"/>
    <w:rsid w:val="00EA30AB"/>
    <w:rsid w:val="00EB3925"/>
    <w:rsid w:val="00EC5CD0"/>
    <w:rsid w:val="00F96EB3"/>
    <w:rsid w:val="00FB47E7"/>
    <w:rsid w:val="00FD6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8EA79-7882-4546-BBEA-A181F336B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3</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21</cp:revision>
  <dcterms:created xsi:type="dcterms:W3CDTF">2016-09-26T20:57:00Z</dcterms:created>
  <dcterms:modified xsi:type="dcterms:W3CDTF">2016-10-19T23:18:00Z</dcterms:modified>
</cp:coreProperties>
</file>