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36A2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06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EDEBATU HENRY OGE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E06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1657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06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ACCUNTING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0628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0E0628" w:rsidP="00A851DA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Factors on which fraud risk assessment depends on are investigators knowledge of: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Fraud triangle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Fraud indicators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Fraud schemes 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Accounting information systems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Understanding of fraud environment such as time frame, entity, efficacy of internal controls etc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main concepts about risk assessment are: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Probability (the likelihood of an event occurring)</w:t>
            </w:r>
          </w:p>
          <w:p w:rsidR="000E0628" w:rsidRDefault="000E0628" w:rsidP="000E0628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Impact (the magnitude of the event from the foundation of the assessment)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internal factors that should be considered for fraud assessment are: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Absence of culture that encourages honesty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Communication of performance standards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Adequate legal, ethical, fraud detection and security related training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Clarity of job roles, accountability, duties and responsibilities</w:t>
            </w:r>
          </w:p>
          <w:p w:rsidR="004B12B1" w:rsidRDefault="004B12B1" w:rsidP="004B12B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Company policy regarding sanctions for financial crime and breach of security</w:t>
            </w:r>
          </w:p>
          <w:p w:rsidR="004B12B1" w:rsidRDefault="004B12B1" w:rsidP="004B12B1">
            <w:pPr>
              <w:pStyle w:val="ListParagraph"/>
              <w:ind w:left="1440"/>
              <w:rPr>
                <w:b/>
              </w:rPr>
            </w:pPr>
          </w:p>
          <w:p w:rsidR="004B12B1" w:rsidRDefault="004B12B1" w:rsidP="004B12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Inherent risk: Frauds that are present before management actions are taken</w:t>
            </w:r>
          </w:p>
          <w:p w:rsidR="00B31B83" w:rsidRDefault="00B31B83" w:rsidP="004B12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Residual risk: These are risk remaining after been mitigated by internal controls associated with the fraud scheme in a particular entity or business process.</w:t>
            </w:r>
          </w:p>
          <w:p w:rsidR="00B31B83" w:rsidRDefault="00B31B83" w:rsidP="00B31B83">
            <w:pPr>
              <w:rPr>
                <w:b/>
              </w:rPr>
            </w:pPr>
          </w:p>
          <w:p w:rsidR="00AB344F" w:rsidRPr="00B31B83" w:rsidRDefault="00B31B83" w:rsidP="00B31B83">
            <w:pPr>
              <w:rPr>
                <w:b/>
              </w:rPr>
            </w:pPr>
            <w:r>
              <w:rPr>
                <w:b/>
              </w:rPr>
              <w:t xml:space="preserve">2) </w:t>
            </w:r>
            <w:r w:rsidR="00C33399">
              <w:rPr>
                <w:b/>
              </w:rPr>
              <w:t xml:space="preserve">     </w:t>
            </w:r>
            <w:r w:rsidR="00BD000E">
              <w:rPr>
                <w:b/>
              </w:rPr>
              <w:t xml:space="preserve"> Fraud Risk Assessment checklist for Truluck Transport Company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59"/>
              <w:gridCol w:w="1446"/>
              <w:gridCol w:w="1458"/>
              <w:gridCol w:w="1445"/>
              <w:gridCol w:w="1450"/>
              <w:gridCol w:w="1432"/>
            </w:tblGrid>
            <w:tr w:rsidR="00AB344F" w:rsidTr="00AB344F"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Fraud Schemes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Inherent Risk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Control Assessment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Residual risk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Business Processes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Red Flags</w:t>
                  </w: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General </w:t>
                  </w:r>
                  <w:r w:rsidR="00BD000E">
                    <w:rPr>
                      <w:b/>
                    </w:rPr>
                    <w:t>anti-fraud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Fraudulent statements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Overstate revenues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Timing difference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BD000E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Improper disclosure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BD000E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Improper Asset Valuation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  <w:tr w:rsidR="00AB344F" w:rsidTr="00AB344F">
              <w:tc>
                <w:tcPr>
                  <w:tcW w:w="1465" w:type="dxa"/>
                </w:tcPr>
                <w:p w:rsidR="00AB344F" w:rsidRDefault="00BD000E" w:rsidP="00B31B83">
                  <w:pPr>
                    <w:rPr>
                      <w:b/>
                    </w:rPr>
                  </w:pPr>
                  <w:r>
                    <w:rPr>
                      <w:b/>
                    </w:rPr>
                    <w:t>Asset/revenue understated</w:t>
                  </w: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  <w:tc>
                <w:tcPr>
                  <w:tcW w:w="1465" w:type="dxa"/>
                </w:tcPr>
                <w:p w:rsidR="00AB344F" w:rsidRDefault="00AB344F" w:rsidP="00B31B83">
                  <w:pPr>
                    <w:rPr>
                      <w:b/>
                    </w:rPr>
                  </w:pPr>
                </w:p>
              </w:tc>
            </w:tr>
          </w:tbl>
          <w:p w:rsidR="00B31B83" w:rsidRPr="00B31B83" w:rsidRDefault="00B31B83" w:rsidP="00B31B83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9"/>
        <w:gridCol w:w="1251"/>
        <w:gridCol w:w="158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D00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EDEBATU HENRY OGE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D00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21-05-2016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764" w:rsidRDefault="00E34764" w:rsidP="00CB4D0A">
      <w:pPr>
        <w:spacing w:after="0" w:line="240" w:lineRule="auto"/>
      </w:pPr>
      <w:r>
        <w:separator/>
      </w:r>
    </w:p>
  </w:endnote>
  <w:endnote w:type="continuationSeparator" w:id="0">
    <w:p w:rsidR="00E34764" w:rsidRDefault="00E3476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764" w:rsidRDefault="00E34764" w:rsidP="00CB4D0A">
      <w:pPr>
        <w:spacing w:after="0" w:line="240" w:lineRule="auto"/>
      </w:pPr>
      <w:r>
        <w:separator/>
      </w:r>
    </w:p>
  </w:footnote>
  <w:footnote w:type="continuationSeparator" w:id="0">
    <w:p w:rsidR="00E34764" w:rsidRDefault="00E3476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45DEC"/>
    <w:multiLevelType w:val="hybridMultilevel"/>
    <w:tmpl w:val="86445CC8"/>
    <w:lvl w:ilvl="0" w:tplc="4694F89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A440425"/>
    <w:multiLevelType w:val="hybridMultilevel"/>
    <w:tmpl w:val="B5C85394"/>
    <w:lvl w:ilvl="0" w:tplc="30F234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02E20"/>
    <w:multiLevelType w:val="hybridMultilevel"/>
    <w:tmpl w:val="1520BAD6"/>
    <w:lvl w:ilvl="0" w:tplc="2E2838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23C739B"/>
    <w:multiLevelType w:val="hybridMultilevel"/>
    <w:tmpl w:val="2828EC74"/>
    <w:lvl w:ilvl="0" w:tplc="BE5C47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973304D"/>
    <w:multiLevelType w:val="hybridMultilevel"/>
    <w:tmpl w:val="E9B69076"/>
    <w:lvl w:ilvl="0" w:tplc="7818CD8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6A29"/>
    <w:rsid w:val="00040083"/>
    <w:rsid w:val="00055992"/>
    <w:rsid w:val="000820E8"/>
    <w:rsid w:val="000E062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5BA0"/>
    <w:rsid w:val="004A2CE2"/>
    <w:rsid w:val="004B12B1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0FC5"/>
    <w:rsid w:val="00A65CF7"/>
    <w:rsid w:val="00A81AB4"/>
    <w:rsid w:val="00A851DA"/>
    <w:rsid w:val="00AB344F"/>
    <w:rsid w:val="00AC7D5B"/>
    <w:rsid w:val="00AE1481"/>
    <w:rsid w:val="00B0415E"/>
    <w:rsid w:val="00B04678"/>
    <w:rsid w:val="00B31B83"/>
    <w:rsid w:val="00BC46DF"/>
    <w:rsid w:val="00BD000E"/>
    <w:rsid w:val="00C03577"/>
    <w:rsid w:val="00C33399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4764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FA609B-DC5D-4646-AC98-A7867510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8DFDD-D91D-41CA-9674-55A8BBCC2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EDOG HAVILAH GLOBAL</cp:lastModifiedBy>
  <cp:revision>3</cp:revision>
  <dcterms:created xsi:type="dcterms:W3CDTF">2016-05-21T09:22:00Z</dcterms:created>
  <dcterms:modified xsi:type="dcterms:W3CDTF">2016-05-21T10:55:00Z</dcterms:modified>
</cp:coreProperties>
</file>