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Default Extension="jpg" ContentType="image/jpeg"/>
  <Default Extension="jpeg" ContentType="image/jpeg"/>
  <Default Extension="tiff" ContentType="image/tiff"/>
  <Default Extension="gif" ContentType="image/gif"/>
  <Default Extension="wmf" ContentType="image/x-wmf"/>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http://schemas.openxmlformats.org/officeDocument/2006/math"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xmlns:wp="http://schemas.openxmlformats.org/drawingml/2006/wordprocessingDrawing">
  <w:body>
    <w:p w:rsidR="00A851DA" w:rsidRDefault="00607874" w:rsidP="00A851DA" w:rsidRPr="00B0415E">
      <w:pPr>
        <w:rFonts w:hAnsiTheme="minorHAnsi"/>
        <w:pStyle w:val="Default"/>
        <w:rPr>
          <w:rFonts w:ascii="Calibri"/>
        </w:rPr>
      </w:pPr>
      <w:r>
        <w:rPr>
          <w:noProof/>
        </w:rPr>
        <w:drawing>
          <wp:anchor distT="0" distB="0" distR="114300" distL="114300" behindDoc="0" allowOverlap="1" layoutInCell="1" locked="0" relativeHeight="251658240" simplePos="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a:srcRect t="20000" b="32001" l="20320" r="23669"/>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hAnsiTheme="minorHAnsi"/>
          <w:rFonts w:ascii="Calibri"/>
        </w:rPr>
        <w:t xml:space="preserve">                                                             </w:t>
      </w:r>
      <w:r w:rsidR="00405895" w:rsidRPr="00B0415E">
        <w:rPr>
          <w:rFonts w:hAnsiTheme="minorHAnsi"/>
          <w:rFonts w:ascii="Calibri"/>
        </w:rPr>
        <w:t xml:space="preserve">     </w:t>
      </w:r>
    </w:p>
    <w:p w:rsidR="00607874" w:rsidRDefault="00200C92" w:rsidP="00A851DA">
      <w:pPr>
        <w:rPr>
          <w:lang w:val="en-US"/>
        </w:rPr>
      </w:pPr>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Style w:val="TableGrid"/>
        <w:tblLook w:firstRow="1" w:lastRow="0" w:firstColumn="1" w:lastColumn="0" w:noHBand="0" w:noVBand="1"/>
      </w:tblPr>
      <w:tblGrid>
        <w:gridCol w:w="2566"/>
        <w:gridCol w:w="6676"/>
      </w:tblGrid>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Name: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Nothando Magagula</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Number:</w:t>
            </w:r>
          </w:p>
        </w:tc>
        <w:tc>
          <w:tcPr>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3061</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Course: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Certificate In Public Relations Level 1</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Assignment NO:</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r>
              <w:t>ASSESSMENT # 1</w:t>
            </w:r>
          </w:p>
        </w:tc>
      </w:tr>
    </w:tbl>
    <w:p w:rsidR="00CC2FB3" w:rsidRDefault="00CC2FB3" w:rsidP="00A851DA">
      <w:pPr>
        <w:rPr>
          <w:lang w:val="en-US"/>
          <w:b/>
        </w:rPr>
      </w:pPr>
    </w:p>
    <w:p w:rsidR="00443E6F" w:rsidRDefault="00527C11" w:rsidP="00A851DA">
      <w:pPr>
        <w:rPr>
          <w:lang w:val="en-US"/>
          <w:b/>
          <w:sz w:val="28"/>
        </w:rPr>
      </w:pPr>
      <w:r w:rsidRPr="00443E6F">
        <w:rPr>
          <w:lang w:val="en-US"/>
          <w:b/>
          <w:sz w:val="28"/>
        </w:rPr>
        <w:t>Marking Criteria:</w:t>
      </w:r>
    </w:p>
    <w:p w:rsidR="00443E6F" w:rsidRDefault="00527C11" w:rsidP="00A851DA">
      <w:pPr>
        <w:rPr>
          <w:lang w:val="en-US"/>
        </w:rPr>
      </w:pPr>
      <w:r>
        <w:rPr>
          <w:lang w:val="en-US"/>
          <w:b/>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rsidRPr="00443E6F">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Style w:val="TableGrid"/>
        <w:tblLook w:firstRow="1" w:lastRow="0" w:firstColumn="1" w:lastColumn="0" w:noHBand="0" w:noVBand="1"/>
      </w:tblPr>
      <w:tblGrid>
        <w:gridCol w:w="9242"/>
      </w:tblGrid>
      <w:tr w:rsidR="00CC2FB3" w:rsidTr="00CC2FB3">
        <w:tc>
          <w:tcPr>
            <w:tcW w:w="9242" w:type="dxa"/>
          </w:tcPr>
          <w:p>
            <w:r>
              <w:rPr>
                <w:rFonts w:ascii="Arial"/>
                <w:sz w:val="24"/>
              </w:rPr>
              <w:t>Dear Nothando,</w:t>
            </w:r>
          </w:p>
          <w:p>
            <w:r>
              <w:rPr>
                <w:rFonts w:ascii="Arial"/>
                <w:sz w:val="24"/>
              </w:rPr>
            </w:r>
          </w:p>
          <w:p>
            <w:r>
              <w:rPr>
                <w:rFonts w:ascii="Arial"/>
                <w:sz w:val="24"/>
              </w:rPr>
              <w:t>1. Planning part of Public Relations Activities permits every possible aim towards a  desired outcome. The plan may pre-empt awkardness and can promote the</w:t>
            </w:r>
          </w:p>
          <w:p>
            <w:pPr>
              <w:numPr>
                <w:ilvl w:val="0"/>
                <w:numId w:val="10121982"/>
              </w:numPr>
            </w:pPr>
            <w:r>
              <w:rPr>
                <w:rFonts w:ascii="Arial"/>
                <w:sz w:val="24"/>
              </w:rPr>
              <w:t>delegation of more effort on more important activities because of reasonable and regularity of perusal</w:t>
            </w:r>
          </w:p>
          <w:p>
            <w:pPr>
              <w:numPr>
                <w:ilvl w:val="0"/>
                <w:numId w:val="10121982"/>
              </w:numPr>
            </w:pPr>
            <w:r>
              <w:rPr>
                <w:rFonts w:ascii="Arial"/>
                <w:sz w:val="24"/>
              </w:rPr>
              <w:t>guiding towards the focus of choice</w:t>
            </w:r>
          </w:p>
          <w:p>
            <w:pPr>
              <w:numPr>
                <w:ilvl w:val="0"/>
                <w:numId w:val="10121982"/>
              </w:numPr>
            </w:pPr>
            <w:r>
              <w:rPr>
                <w:rFonts w:ascii="Arial"/>
                <w:sz w:val="24"/>
              </w:rPr>
              <w:t>versatility surrounding the next part of a long-term plan required to obtain a suitable social creativity and problem-solving climate</w:t>
            </w:r>
          </w:p>
          <w:p>
            <w:pPr>
              <w:numPr>
                <w:ilvl w:val="0"/>
                <w:numId w:val="10121982"/>
              </w:numPr>
            </w:pPr>
            <w:r>
              <w:rPr>
                <w:rFonts w:ascii="Arial"/>
                <w:sz w:val="24"/>
              </w:rPr>
              <w:t>increase of motivation for planners</w:t>
            </w:r>
          </w:p>
          <w:p>
            <w:pPr>
              <w:numPr>
                <w:ilvl w:val="0"/>
                <w:numId w:val="10121982"/>
              </w:numPr>
            </w:pPr>
            <w:r>
              <w:rPr>
                <w:rFonts w:ascii="Arial"/>
                <w:sz w:val="24"/>
              </w:rPr>
              <w:t>criteria, also part of the plan, to solve crisis methodically during the strategy, implementation and evaluation.</w:t>
            </w:r>
          </w:p>
          <w:p>
            <w:pPr>
              <w:numPr>
                <w:ilvl w:val="0"/>
                <w:numId w:val="10121982"/>
              </w:numPr>
            </w:pPr>
            <w:r>
              <w:rPr>
                <w:rFonts w:ascii="Arial"/>
                <w:sz w:val="24"/>
              </w:rPr>
              <w:t>risk free provision (not losses ) that a contingency plan offers in times of difficulties</w:t>
            </w:r>
          </w:p>
          <w:p>
            <w:pPr>
              <w:numPr>
                <w:ilvl w:val="0"/>
                <w:numId w:val="10121982"/>
              </w:numPr>
            </w:pPr>
            <w:r>
              <w:rPr>
                <w:rFonts w:ascii="Arial"/>
                <w:sz w:val="24"/>
              </w:rPr>
              <w:t>business profile that appeals to the market with the likeliness to gain future contracts</w:t>
            </w:r>
          </w:p>
          <w:p>
            <w:pPr/>
            <w:r>
              <w:rPr>
                <w:rFonts w:ascii="Arial"/>
                <w:sz w:val="24"/>
              </w:rPr>
            </w:r>
          </w:p>
          <w:p>
            <w:pPr>
              <w:rPr>
                <w:rFonts w:ascii="Arial"/>
                <w:sz w:val="24"/>
              </w:rPr>
            </w:pPr>
            <w:r>
              <w:rPr>
                <w:rFonts w:ascii="Arial"/>
                <w:sz w:val="24"/>
              </w:rPr>
              <w:t>Dear Nothando,</w:t>
            </w:r>
          </w:p>
          <w:p>
            <w:r>
              <w:rPr>
                <w:rFonts w:ascii="Arial"/>
                <w:sz w:val="24"/>
              </w:rPr>
            </w:r>
          </w:p>
          <w:p>
            <w:r>
              <w:rPr>
                <w:rFonts w:ascii="Arial"/>
                <w:sz w:val="24"/>
              </w:rPr>
              <w:t>2. At times PR practitioners are not enthusiastic to plan ahead for a campaign issue. The plan may take time away from other work responsibility. A practitioner may find the plan rigid and without malleability, not allowing for problem-solving and creative input. Tedium may show due to the use of a single campaign method. Managerial expectations may be impossible to achieve due to unreasonable demands of the management from the workforce and their work ability. Unable to commit their best to the project because a practitioner is only allowed to use some of their expertise and not authorised their full  of skills to achieve an obviously more complicated and larger project.</w:t>
            </w:r>
          </w:p>
          <w:p w:rsidR="00CC2FB3" w:rsidRDefault="00CC2FB3" w:rsidP="00A851DA" w:rsidRPr="00CC2FB3">
            <w:pPr>
              <w:rPr>
                <w:rFonts w:ascii="Arial" w:cs="Arial" w:hAnsi="Arial"/>
                <w:sz w:val="24"/>
                <w:szCs w:val="24"/>
              </w:rPr>
            </w:pPr>
            <w:r>
              <w:rPr>
                <w:rFonts w:ascii="Arial"/>
                <w:sz w:val="24"/>
              </w:rPr>
              <w:t xml:space="preserve">3. There is a mandate for the public relations practitioner and company to acquire the measure of their ability {dexterity}. Invariably, </w:t>
            </w:r>
            <w:r>
              <w:rPr>
                <w:b/>
                <w:rFonts w:ascii="Arial"/>
                <w:sz w:val="24"/>
              </w:rPr>
              <w:t xml:space="preserve">SWOT </w:t>
            </w:r>
            <w:r>
              <w:rPr>
                <w:b w:val="0"/>
                <w:rFonts w:ascii="Arial"/>
                <w:sz w:val="24"/>
              </w:rPr>
              <w:t>{model for analysis}</w:t>
            </w:r>
            <w:r>
              <w:rPr>
                <w:rFonts w:ascii="Arial"/>
                <w:sz w:val="24"/>
              </w:rPr>
              <w:t xml:space="preserve"> </w:t>
            </w:r>
            <w:r>
              <w:rPr>
                <w:rFonts w:ascii="Arial"/>
                <w:sz w:val="24"/>
              </w:rPr>
              <w:t xml:space="preserve">insists on the evaluation of the company, personified, which is part of the environment within it's control. Particularly, it refers to </w:t>
            </w:r>
            <w:r>
              <w:rPr>
                <w:b/>
                <w:rFonts w:ascii="Arial"/>
                <w:sz w:val="24"/>
              </w:rPr>
              <w:t xml:space="preserve">Strength </w:t>
            </w:r>
            <w:r>
              <w:rPr>
                <w:rFonts w:ascii="Arial"/>
                <w:sz w:val="24"/>
              </w:rPr>
              <w:t xml:space="preserve">and </w:t>
            </w:r>
            <w:r>
              <w:rPr>
                <w:b/>
                <w:rFonts w:ascii="Arial"/>
                <w:sz w:val="24"/>
              </w:rPr>
              <w:t>Weakness</w:t>
            </w:r>
            <w:r>
              <w:rPr>
                <w:rFonts w:ascii="Arial"/>
                <w:sz w:val="24"/>
              </w:rPr>
              <w:t xml:space="preserve">, both of which pose less difficulty to control. Analysis concerning these factors may include low sickness occurring to a company for the previous 15 years / a strength. Where-as, weakness may have shown because of low capital reserves and government legislation that seems to impede social marketing maximisation. However, is the public more likely to communicate better as you do when the campaign issue has been tackled, is it feasible? Clearly, </w:t>
            </w:r>
            <w:r>
              <w:rPr>
                <w:b/>
                <w:rFonts w:ascii="Arial"/>
                <w:sz w:val="24"/>
              </w:rPr>
              <w:t>Threats</w:t>
            </w:r>
            <w:r>
              <w:rPr>
                <w:rFonts w:ascii="Arial"/>
                <w:sz w:val="24"/>
              </w:rPr>
              <w:t xml:space="preserve"> are not as easy to manage. The climate of war, blurry targets and the loss of a large elderly employment group may impact on this company ( with threats ) that employed them. Only, more </w:t>
            </w:r>
            <w:r>
              <w:rPr>
                <w:b/>
                <w:rFonts w:ascii="Arial"/>
                <w:sz w:val="24"/>
              </w:rPr>
              <w:t>Opportunity</w:t>
            </w:r>
            <w:r>
              <w:rPr>
                <w:rFonts w:ascii="Arial"/>
                <w:sz w:val="24"/>
              </w:rPr>
              <w:t xml:space="preserve"> is good; perhaps the positive-manipulation of share-holders with better ideas may offer a greater scope for interaction. International is a good arena. Analysis can increase investment, applying both informal and formal methods.</w:t>
            </w:r>
          </w:p>
          <w:p>
            <w:r>
              <w:rPr>
                <w:rFonts w:ascii="Arial"/>
                <w:sz w:val="24"/>
              </w:rPr>
            </w:r>
          </w:p>
          <w:p>
            <w:pPr>
              <w:rPr>
                <w:rFonts w:ascii="Arial"/>
                <w:sz w:val="24"/>
              </w:rPr>
            </w:pPr>
            <w:r>
              <w:rPr>
                <w:rFonts w:ascii="Arial"/>
                <w:sz w:val="24"/>
              </w:rPr>
              <w:t xml:space="preserve">Dear Nothando, </w:t>
            </w:r>
          </w:p>
          <w:p>
            <w:r>
              <w:rPr>
                <w:rFonts w:ascii="Arial"/>
                <w:sz w:val="24"/>
              </w:rPr>
            </w:r>
          </w:p>
          <w:p>
            <w:r>
              <w:rPr>
                <w:rFonts w:ascii="Arial"/>
                <w:sz w:val="24"/>
              </w:rPr>
              <w:t xml:space="preserve">4. Public Relations and 'environment scanning' have a single source. This source includes  </w:t>
            </w:r>
            <w:r>
              <w:rPr>
                <w:b/>
                <w:rFonts w:ascii="Arial"/>
                <w:sz w:val="24"/>
              </w:rPr>
              <w:t>analysis</w:t>
            </w:r>
            <w:r>
              <w:rPr>
                <w:b w:val="0"/>
                <w:rFonts w:ascii="Arial"/>
                <w:sz w:val="24"/>
              </w:rPr>
              <w:t>;</w:t>
            </w:r>
            <w:r>
              <w:rPr>
                <w:rFonts w:ascii="Arial"/>
                <w:sz w:val="24"/>
              </w:rPr>
              <w:t xml:space="preserve"> </w:t>
            </w:r>
            <w:r>
              <w:rPr>
                <w:rFonts w:ascii="Arial"/>
                <w:sz w:val="24"/>
              </w:rPr>
              <w:t>of the environment and internal-environment ( business ). Analysis pertains to a problem that the business wishes to solve because it has basis for the stakeholder, the business and the shareholders. Since the business has an influence, analysis, it shares this with the public. The business encourages change because of their inclination for communicating with more effectiveness. Files may be kept with details about environmental scanning {ideal for a company to conscientiously approach a problem and waste little time on the problem}. Recommendation, reflects usual questions</w:t>
            </w:r>
          </w:p>
          <w:p>
            <w:pPr>
              <w:numPr>
                <w:ilvl w:val="0"/>
                <w:numId w:val="10121982"/>
              </w:numPr>
            </w:pPr>
            <w:r>
              <w:rPr>
                <w:rFonts w:ascii="Arial"/>
                <w:sz w:val="24"/>
              </w:rPr>
              <w:t xml:space="preserve"> Epistle Analysis; how is the company affected by the environment?</w:t>
            </w:r>
          </w:p>
          <w:p>
            <w:pPr>
              <w:numPr>
                <w:ilvl w:val="0"/>
                <w:numId w:val="10121982"/>
              </w:numPr>
            </w:pPr>
            <w:r>
              <w:rPr>
                <w:rFonts w:ascii="Arial"/>
                <w:sz w:val="24"/>
              </w:rPr>
              <w:t>Which environmental factors influence the company the most?</w:t>
            </w:r>
          </w:p>
          <w:p>
            <w:pPr>
              <w:numPr>
                <w:ilvl w:val="0"/>
                <w:numId w:val="10121982"/>
              </w:numPr>
            </w:pPr>
            <w:r>
              <w:rPr>
                <w:rFonts w:ascii="Arial"/>
                <w:sz w:val="24"/>
              </w:rPr>
              <w:t>What will the same environmental factors affect the company?</w:t>
            </w:r>
          </w:p>
          <w:p>
            <w:pPr>
              <w:numPr>
                <w:ilvl w:val="0"/>
                <w:numId w:val="10121982"/>
              </w:numPr>
            </w:pPr>
            <w:r>
              <w:rPr>
                <w:rFonts w:ascii="Arial"/>
                <w:sz w:val="24"/>
              </w:rPr>
            </w:r>
          </w:p>
          <w:p>
            <w:pPr/>
            <w:r>
              <w:rPr>
                <w:rFonts w:ascii="Arial"/>
                <w:sz w:val="24"/>
              </w:rPr>
              <w:t>Public Relations helps to relay messages derived from environment scanning to the public. Perhaps the evidence will reveal repercussions ( interaction ) of analysis by environmental scanning on the running of a company enthusiastic to improve communication for itself and the public. Long-term plans may be easier tackled by new technology an environmental factor that enhances a communication experience and proves that an interaction has occurred.</w:t>
            </w:r>
          </w:p>
          <w:p>
            <w:r>
              <w:rPr>
                <w:rFonts w:ascii="Arial"/>
                <w:sz w:val="24"/>
              </w:rPr>
            </w:r>
          </w:p>
          <w:p>
            <w:r>
              <w:rPr>
                <w:rFonts w:ascii="Arial"/>
                <w:sz w:val="24"/>
              </w:rPr>
              <w:t>Dear Nothando,</w:t>
            </w:r>
          </w:p>
          <w:p>
            <w:r>
              <w:rPr>
                <w:rFonts w:ascii="Arial"/>
                <w:sz w:val="24"/>
              </w:rPr>
            </w:r>
          </w:p>
          <w:p>
            <w:r>
              <w:rPr>
                <w:rFonts w:ascii="Arial"/>
                <w:sz w:val="24"/>
              </w:rPr>
              <w:t>5. Several approaches can be used for Public Relations, amongst them</w:t>
            </w:r>
          </w:p>
          <w:p>
            <w:pPr>
              <w:numPr>
                <w:ilvl w:val="0"/>
                <w:numId w:val="10121982"/>
              </w:numPr>
            </w:pPr>
            <w:r>
              <w:rPr>
                <w:rFonts w:ascii="Arial"/>
                <w:sz w:val="24"/>
              </w:rPr>
              <w:t xml:space="preserve"> multi-project public relations allows Gregory to allocate the social market with a sub-plan into to types of groups. The community relations plan, public affairs plan, investor relations plan. His prerequisite was to ascertain an overall plan, aim (business attribute) and desired business and public growth (outcomes) and message. Similarly, each group received a sub-message promoting the campaign issue, reitarating the objectives and including the subgroups in a Programme of action and evaluation. The company was then ready to evaluate and review the entire strategy and improve it, communicate better.</w:t>
            </w:r>
          </w:p>
          <w:p>
            <w:pPr>
              <w:numPr>
                <w:ilvl w:val="0"/>
                <w:numId w:val="10121982"/>
              </w:numPr>
            </w:pPr>
            <w:r>
              <w:rPr>
                <w:rFonts w:ascii="Arial"/>
                <w:sz w:val="24"/>
              </w:rPr>
              <w:t>'Open systems model' which follows a contingency to approach the public for their view on a broad aspect of the environment. Cutlip et al. (200) proposes a process that gleans them for information again after the company has used the bias in their aims and objectives.</w:t>
            </w:r>
          </w:p>
          <w:p>
            <w:pPr>
              <w:numPr>
                <w:ilvl w:val="0"/>
                <w:numId w:val="10121982"/>
              </w:numPr>
            </w:pPr>
            <w:r>
              <w:rPr>
                <w:rFonts w:ascii="Arial"/>
                <w:sz w:val="24"/>
              </w:rPr>
              <w:t xml:space="preserve">'closed systems model' will not use shareholder / public opinions to manipulate the </w:t>
            </w:r>
            <w:r>
              <w:rPr>
                <w:rFonts w:ascii="Arial"/>
                <w:sz w:val="24"/>
              </w:rPr>
              <w:t>objectives and aims useful for Public Relation Plan.</w:t>
            </w:r>
          </w:p>
          <w:p>
            <w:pPr>
              <w:numPr>
                <w:ilvl w:val="0"/>
                <w:numId w:val="10121982"/>
              </w:numPr>
              <w:rPr>
                <w:rFonts w:ascii="Arial"/>
                <w:sz w:val="24"/>
              </w:rPr>
            </w:pPr>
            <w:r>
              <w:rPr>
                <w:rFonts w:ascii="Arial"/>
                <w:sz w:val="24"/>
              </w:rPr>
              <w:t>Long-term planning</w:t>
            </w:r>
          </w:p>
          <w:p>
            <w:pPr>
              <w:numPr>
                <w:ilvl w:val="0"/>
                <w:numId w:val="10121982"/>
              </w:numPr>
              <w:rPr>
                <w:rFonts w:ascii="Arial"/>
                <w:sz w:val="24"/>
              </w:rPr>
            </w:pPr>
            <w:r>
              <w:rPr>
                <w:rFonts w:ascii="Arial"/>
                <w:sz w:val="24"/>
              </w:rPr>
              <w:t>short-term planning</w:t>
            </w:r>
          </w:p>
          <w:p>
            <w:pPr>
              <w:numPr>
                <w:ilvl w:val="0"/>
                <w:numId w:val="10121982"/>
              </w:numPr>
              <w:rPr>
                <w:rFonts w:ascii="Arial"/>
                <w:sz w:val="24"/>
              </w:rPr>
            </w:pPr>
            <w:r>
              <w:rPr>
                <w:rFonts w:ascii="Arial"/>
                <w:sz w:val="24"/>
              </w:rPr>
              <w:t>reasonable question; What issues and difficulty must be research? Who are we specifying the questions to? What medium should we use to communicate with the public? How will we collect and measure the data that from the public, was the exercise effective? What wi</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rsidRPr="00B0415E">
      <w:pPr>
        <w:autoSpaceDE w:val="0"/>
        <w:autoSpaceDN w:val="0"/>
        <w:adjustRightInd w:val="0"/>
        <w:spacing w:after="0" w:line="240" w:lineRule="auto"/>
        <w:rPr>
          <w:bCs/>
          <w:lang w:val="en-US"/>
          <w:b/>
          <w:color w:val="002060"/>
          <w:rFonts w:cs="CalvertMT-Bold"/>
          <w:sz w:val="28"/>
        </w:rPr>
      </w:pPr>
    </w:p>
    <w:p w:rsidR="00A851DA" w:rsidRDefault="00AE1481" w:rsidP="00A851DA" w:rsidRPr="00B0415E">
      <w:pPr>
        <w:autoSpaceDE w:val="0"/>
        <w:autoSpaceDN w:val="0"/>
        <w:adjustRightInd w:val="0"/>
        <w:spacing w:after="0" w:line="240" w:lineRule="auto"/>
        <w:rPr>
          <w:bCs/>
          <w:lang w:val="en-US"/>
          <w:b/>
          <w:color w:val="002060"/>
          <w:rFonts w:cs="CalvertMT-Bold"/>
          <w:sz w:val="28"/>
        </w:rPr>
      </w:pPr>
      <w:r>
        <w:rPr>
          <w:bCs/>
          <w:lang w:val="en-US"/>
          <w:b/>
          <w:color w:val="002060"/>
          <w:rFonts w:cs="CalvertMT-Bold"/>
          <w:sz w:val="28"/>
        </w:rPr>
        <w:t>Student</w:t>
      </w:r>
      <w:r w:rsidR="00A851DA" w:rsidRPr="00B0415E">
        <w:rPr>
          <w:bCs/>
          <w:lang w:val="en-US"/>
          <w:b/>
          <w:color w:val="002060"/>
          <w:rFonts w:cs="CalvertMT-Bold"/>
          <w:sz w:val="28"/>
        </w:rPr>
        <w:t xml:space="preserve"> Statement:</w:t>
      </w:r>
    </w:p>
    <w:p w:rsidR="00A851DA" w:rsidRDefault="00A851DA" w:rsidP="00A851DA" w:rsidRPr="00B0415E">
      <w:pPr>
        <w:autoSpaceDE w:val="0"/>
        <w:autoSpaceDN w:val="0"/>
        <w:adjustRightInd w:val="0"/>
        <w:spacing w:after="0" w:line="240" w:lineRule="auto"/>
        <w:rPr>
          <w:bCs/>
          <w:lang w:val="en-US"/>
          <w:b/>
          <w:color w:val="001AE6"/>
          <w:rFonts w:cs="CalvertMT-Bold"/>
        </w:rPr>
      </w:pPr>
    </w:p>
    <w:p w:rsidR="00A851DA" w:rsidRDefault="00405895" w:rsidP="00A851DA" w:rsidRPr="00B0415E">
      <w:pPr>
        <w:autoSpaceDE w:val="0"/>
        <w:autoSpaceDN w:val="0"/>
        <w:adjustRightInd w:val="0"/>
        <w:spacing w:after="0" w:line="240" w:lineRule="auto"/>
        <w:rPr>
          <w:lang w:val="en-US"/>
          <w:color w:val="000000"/>
          <w:rFonts w:cs="Bliss-Regular"/>
        </w:rPr>
      </w:pPr>
      <w:r w:rsidRPr="00B0415E">
        <w:rPr>
          <w:lang w:val="en-US"/>
          <w:color w:val="000000"/>
          <w:rFonts w:cs="Bliss-Regular"/>
        </w:rPr>
        <w:t>By submitting this assignment, I confirm that this is my own work.</w:t>
      </w:r>
    </w:p>
    <w:p w:rsidR="00503D7E" w:rsidRDefault="00503D7E" w:rsidP="00A851DA" w:rsidRPr="00B0415E">
      <w:pPr>
        <w:autoSpaceDE w:val="0"/>
        <w:autoSpaceDN w:val="0"/>
        <w:adjustRightInd w:val="0"/>
        <w:spacing w:after="0" w:line="240" w:lineRule="auto"/>
        <w:rPr>
          <w:lang w:val="en-US"/>
          <w:color w:val="000000"/>
          <w:rFonts w:cs="Bliss-Regular"/>
        </w:rPr>
      </w:pPr>
    </w:p>
    <w:p w:rsidR="00503D7E" w:rsidRDefault="00503D7E" w:rsidP="00A851DA" w:rsidRPr="00B0415E">
      <w:pPr>
        <w:autoSpaceDE w:val="0"/>
        <w:autoSpaceDN w:val="0"/>
        <w:adjustRightInd w:val="0"/>
        <w:spacing w:after="0" w:line="240" w:lineRule="auto"/>
        <w:rPr>
          <w:lang w:val="en-US"/>
          <w:color w:val="000000"/>
          <w:rFonts w:cs="Bliss-Regular"/>
        </w:rPr>
      </w:pPr>
    </w:p>
    <w:p w:rsidR="00A851DA" w:rsidRDefault="00A851DA" w:rsidP="00A851DA" w:rsidRPr="00B0415E">
      <w:pPr>
        <w:autoSpaceDE w:val="0"/>
        <w:autoSpaceDN w:val="0"/>
        <w:adjustRightInd w:val="0"/>
        <w:spacing w:after="0" w:line="240" w:lineRule="auto"/>
        <w:rPr>
          <w:lang w:val="en-US"/>
          <w:color w:val="000000"/>
          <w:rFonts w:cs="Bliss-Regular"/>
        </w:rPr>
      </w:pPr>
    </w:p>
    <w:tbl>
      <w:tblPr>
        <w:tblW w:w="0" w:type="auto"/>
        <w:tblStyle w:val="TableGrid"/>
        <w:tblLook w:firstRow="1" w:lastRow="0" w:firstColumn="1" w:lastColumn="0" w:noHBand="0" w:noVBand="1"/>
      </w:tblPr>
      <w:tblGrid>
        <w:gridCol w:w="2310"/>
        <w:gridCol w:w="4035"/>
        <w:gridCol w:w="1276"/>
        <w:gridCol w:w="1621"/>
      </w:tblGrid>
      <w:tr w:rsidR="00405895" w:rsidRPr="00B0415E" w:rsidTr="00405895">
        <w:tc>
          <w:tcPr>
            <w:shd w:fill="D9D9D9" w:color="auto" w:themeFill="background1" w:themeFillShade="D9" w:val="clear"/>
            <w:tcW w:w="2310" w:type="dxa"/>
          </w:tcPr>
          <w:p w:rsidR="00405895" w:rsidRDefault="00405895" w:rsidP="00A851DA" w:rsidRPr="00B0415E">
            <w:pPr>
              <w:rPr>
                <w:color w:val="000000"/>
                <w:rFonts w:cs="Bliss-Regular"/>
              </w:rPr>
            </w:pPr>
            <w:r w:rsidRPr="00B0415E">
              <w:rPr>
                <w:color w:val="000000"/>
                <w:rFonts w:cs="Bliss-Regular"/>
              </w:rPr>
              <w:t>Student Signature</w:t>
            </w:r>
          </w:p>
        </w:tc>
        <w:tc>
          <w:tcPr>
            <w:tcW w:w="4035" w:type="dxa"/>
          </w:tcPr>
          <w:p w:rsidR="00405895" w:rsidRDefault="00405895" w:rsidP="00A851DA" w:rsidRPr="00B0415E">
            <w:pPr>
              <w:rPr>
                <w:color w:val="000000"/>
                <w:rFonts w:cs="Bliss-Regular"/>
              </w:rPr>
            </w:pPr>
          </w:p>
        </w:tc>
        <w:tc>
          <w:tcPr>
            <w:shd w:fill="D9D9D9" w:color="auto" w:themeFill="background1" w:themeFillShade="D9" w:val="clear"/>
            <w:tcW w:w="1276" w:type="dxa"/>
          </w:tcPr>
          <w:p w:rsidR="00405895" w:rsidRDefault="00405895" w:rsidP="00A851DA" w:rsidRPr="00B0415E">
            <w:pPr>
              <w:rPr>
                <w:color w:val="000000"/>
                <w:rFonts w:cs="Bliss-Regular"/>
              </w:rPr>
            </w:pPr>
            <w:r w:rsidRPr="00B0415E">
              <w:rPr>
                <w:color w:val="000000"/>
                <w:rFonts w:cs="Bliss-Regular"/>
              </w:rPr>
              <w:t>Date</w:t>
            </w:r>
          </w:p>
        </w:tc>
        <w:tc>
          <w:tcPr>
            <w:tcW w:w="1621" w:type="dxa"/>
          </w:tcPr>
          <w:p w:rsidR="00405895" w:rsidRDefault="00405895" w:rsidP="00A851DA" w:rsidRPr="00B0415E">
            <w:pPr>
              <w:rPr>
                <w:color w:val="000000"/>
                <w:rFonts w:cs="Bliss-Regular"/>
              </w:rPr>
            </w:pPr>
          </w:p>
        </w:tc>
      </w:tr>
    </w:tbl>
    <w:p w:rsidR="00A851DA" w:rsidRDefault="00A851DA" w:rsidP="00A851DA" w:rsidRPr="00B0415E">
      <w:pPr>
        <w:rPr>
          <w:lang w:val="en-US"/>
          <w:color w:val="000000"/>
          <w:rFonts w:cs="Bliss-Regular"/>
        </w:rPr>
      </w:pPr>
    </w:p>
    <w:p w:rsidR="00A851DA" w:rsidRDefault="00A851DA" w:rsidP="00A851DA" w:rsidRPr="00B0415E">
      <w:pPr>
        <w:rPr>
          <w:lang w:val="en-US"/>
          <w:color w:val="000000"/>
          <w:rFonts w:cs="Bliss-Regular"/>
        </w:rPr>
      </w:pPr>
    </w:p>
    <w:p w:rsidR="00A851DA" w:rsidRDefault="00503D7E" w:rsidP="00503D7E" w:rsidRPr="00B0415E">
      <w:pPr>
        <w:shd w:fill="D9D9D9" w:color="auto" w:themeFill="background1" w:themeFillShade="D9" w:val="clear"/>
        <w:rPr>
          <w:lang w:val="en-US"/>
          <w:b/>
          <w:sz w:val="32"/>
        </w:rPr>
      </w:pPr>
      <w:r w:rsidRPr="00B0415E">
        <w:rPr>
          <w:lang w:val="en-US"/>
          <w:b/>
          <w:sz w:val="28"/>
        </w:rPr>
        <w:t>For Tutor / Assessor Use Only</w:t>
        <w:lastRenderedPageBreak/>
      </w:r>
    </w:p>
    <w:tbl>
      <w:tblPr>
        <w:tblW w:w="0" w:type="auto"/>
        <w:tblStyle w:val="TableGrid"/>
        <w:tblLook w:firstRow="1" w:lastRow="0" w:firstColumn="1" w:lastColumn="0" w:noHBand="0" w:noVBand="1"/>
      </w:tblPr>
      <w:tblGrid>
        <w:gridCol w:w="4621"/>
        <w:gridCol w:w="4621"/>
      </w:tblGrid>
      <w:tr w:rsidR="00503D7E" w:rsidRPr="00B0415E" w:rsidTr="00B0415E">
        <w:trPr>
          <w:trHeight w:val="249"/>
        </w:trPr>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Total Marks</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Marks Obtained</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B0415E" w:rsidP="00503D7E" w:rsidRPr="00B0415E">
            <w:pPr>
              <w:rPr>
                <w:b/>
                <w:color w:val="002060"/>
              </w:rPr>
            </w:pPr>
            <w:r w:rsidRPr="00B0415E">
              <w:rPr>
                <w:b/>
                <w:color w:val="002060"/>
              </w:rPr>
              <w:t>Percentage / Grade</w:t>
            </w:r>
          </w:p>
        </w:tc>
        <w:tc>
          <w:tcPr>
            <w:tcW w:w="4621" w:type="dxa"/>
          </w:tcPr>
          <w:p w:rsidR="00503D7E" w:rsidRDefault="00503D7E" w:rsidP="00503D7E" w:rsidRPr="00B0415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rsidRPr="00B0415E">
      <w:pPr>
        <w:rPr>
          <w:rFonts w:cs="Times New Roman"/>
          <w:sz w:val="24"/>
          <w:szCs w:val="32"/>
        </w:rPr>
      </w:pPr>
    </w:p>
    <w:sectPr w:rsidR="00EA30AB" w:rsidRPr="00B0415E" w:rsidSect="00187EB4">
      <w:docGrid w:linePitch="360"/>
      <w:pgSz w:w="11906" w:h="16838"/>
      <w:pgMar w:left="1440" w:right="1440" w:top="1440" w:bottom="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font w:name="Courier New"/>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4F1D4919"/>
    <w:tmpl w:val="14BE2274"/>
    <w:lvl w:ilvl="0" w:tplc="7688C384">
      <w:numFmt w:val="decimal"/>
      <w:lvlText w:val="%1."/>
      <w:start w:val="2"/>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121982">
    <w:multiLevelType w:val="hybridMultilevel"/>
    <w:lvl w:ilvl="0">
      <w:numFmt w:val="bullet"/>
      <w:lvlText w:val=""/>
      <w:start w:val="0"/>
      <w:rPr>
        <w:rFonts w:ascii="Symbol"/>
      </w:rPr>
      <w:pPr>
        <w:ind w:left="720"/>
        <w:ind w:hanging="360"/>
      </w:pPr>
    </w:lvl>
    <w:lvl w:ilvl="1">
      <w:numFmt w:val="bullet"/>
      <w:lvlText w:val="o"/>
      <w:start w:val="0"/>
      <w:rPr>
        <w:rFonts w:ascii="Courier New"/>
      </w:rPr>
      <w:pPr>
        <w:ind w:left="1440"/>
        <w:ind w:hanging="1080"/>
      </w:pPr>
    </w:lvl>
    <w:lvl w:ilvl="2">
      <w:numFmt w:val="bullet"/>
      <w:lvlText w:val=""/>
      <w:start w:val="0"/>
      <w:rPr/>
      <w:pPr>
        <w:ind w:left="2160"/>
        <w:ind w:hanging="1800"/>
      </w:pPr>
    </w:lvl>
    <w:lvl w:ilvl="3">
      <w:numFmt w:val="bullet"/>
      <w:lvlText w:val=""/>
      <w:start w:val="0"/>
      <w:rPr>
        <w:rFonts w:ascii="Symbol"/>
      </w:rPr>
      <w:pPr>
        <w:ind w:left="2880"/>
        <w:ind w:hanging="2520"/>
      </w:pPr>
    </w:lvl>
    <w:lvl w:ilvl="4">
      <w:numFmt w:val="bullet"/>
      <w:lvlText w:val="o"/>
      <w:start w:val="0"/>
      <w:rPr>
        <w:rFonts w:ascii="Courier New"/>
      </w:rPr>
      <w:pPr>
        <w:ind w:left="3600"/>
        <w:ind w:hanging="3240"/>
      </w:pPr>
    </w:lvl>
    <w:lvl w:ilvl="5">
      <w:numFmt w:val="bullet"/>
      <w:lvlText w:val=""/>
      <w:start w:val="0"/>
      <w:rPr/>
      <w:pPr>
        <w:ind w:left="4320"/>
        <w:ind w:hanging="3960"/>
      </w:pPr>
    </w:lvl>
    <w:lvl w:ilvl="6">
      <w:numFmt w:val="bullet"/>
      <w:lvlText w:val=""/>
      <w:start w:val="0"/>
      <w:rPr>
        <w:rFonts w:ascii="Symbol"/>
      </w:rPr>
      <w:pPr>
        <w:ind w:left="5040"/>
        <w:ind w:hanging="4680"/>
      </w:pPr>
    </w:lvl>
    <w:lvl w:ilvl="7">
      <w:numFmt w:val="bullet"/>
      <w:lvlText w:val="o"/>
      <w:start w:val="0"/>
      <w:rPr>
        <w:rFonts w:asci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10121982">
    <w:abstractNumId w:val="10121982"/>
  </w:num>
  <w:num w:numId="10121983">
    <w:abstractNumId w:val="10121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qFormat/>
    <w:basedOn w:val="Normal"/>
    <w:rPr>
      <w:color w:val="17365D"/>
      <w:sz w:val="52"/>
    </w:rPr>
    <w:pPr>
      <w:spacing w:after="300"/>
    </w:pPr>
  </w:style>
  <w:style w:type="paragraph" w:styleId="Subtitle">
    <w:name w:val="Subtitle"/>
    <w:qFormat/>
    <w:basedOn w:val="Normal"/>
    <w:rPr>
      <w:i/>
      <w:color w:val="4F81BD"/>
      <w:sz w:val="24"/>
    </w:rPr>
  </w:style>
  <w:style w:type="paragraph" w:styleId="Heading1">
    <w:name w:val="Heading 1"/>
    <w:qFormat/>
    <w:basedOn w:val="Normal"/>
    <w:rPr>
      <w:b/>
      <w:color w:val="345A8A"/>
      <w:sz w:val="32"/>
    </w:rPr>
    <w:pPr>
      <w:spacing w:before="480"/>
    </w:pPr>
  </w:style>
  <w:style w:type="paragraph" w:styleId="Heading2">
    <w:name w:val="Heading 2"/>
    <w:qFormat/>
    <w:basedOn w:val="Normal"/>
    <w:rPr>
      <w:b/>
      <w:color w:val="4F81BD"/>
      <w:sz w:val="26"/>
    </w:rPr>
    <w:pPr>
      <w:spacing w:before="200"/>
    </w:pPr>
  </w:style>
  <w:style w:type="paragraph" w:styleId="Heading3">
    <w:name w:val="Heading 3"/>
    <w:qFormat/>
    <w:basedOn w:val="Normal"/>
    <w:rPr>
      <w:b/>
      <w:color w:val="4F81BD"/>
      <w:sz w:val="24"/>
    </w:rPr>
    <w:pPr>
      <w:spacing w:before="200"/>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p:lastModifiedBy>
  <cp:revision>2</cp:revision>
  <dcterms:created xsi:type="dcterms:W3CDTF">2015-01-26T12:24:00Z</dcterms:created>
  <dcterms:modified xsi:type="dcterms:W3CDTF">2015-01-26T12:24:00Z</dcterms:modified>
</cp:coreProperties>
</file>