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51C40" w:rsidRDefault="00607874" w:rsidP="00351C40">
      <w:pPr>
        <w:pStyle w:val="Default"/>
        <w:spacing w:line="360" w:lineRule="auto"/>
        <w:jc w:val="both"/>
        <w:rPr>
          <w:rFonts w:asciiTheme="minorHAnsi" w:hAnsiTheme="minorHAnsi"/>
        </w:rPr>
      </w:pPr>
      <w:r w:rsidRPr="00351C40">
        <w:rPr>
          <w:rFonts w:asciiTheme="minorHAnsi" w:hAnsiTheme="minorHAnsi"/>
          <w:noProof/>
          <w:lang w:val="en-GB"/>
        </w:rPr>
        <w:drawing>
          <wp:anchor distT="0" distB="0" distL="114300" distR="114300" simplePos="0" relativeHeight="251658240" behindDoc="0" locked="0" layoutInCell="1" allowOverlap="1" wp14:anchorId="70909DAF" wp14:editId="76FE25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51C40">
        <w:rPr>
          <w:rFonts w:asciiTheme="minorHAnsi" w:hAnsiTheme="minorHAnsi"/>
        </w:rPr>
        <w:t xml:space="preserve">                                                             </w:t>
      </w:r>
      <w:r w:rsidR="00405895" w:rsidRPr="00351C40">
        <w:rPr>
          <w:rFonts w:asciiTheme="minorHAnsi" w:hAnsiTheme="minorHAnsi"/>
        </w:rPr>
        <w:t xml:space="preserve">     </w:t>
      </w:r>
    </w:p>
    <w:p w:rsidR="00607874" w:rsidRPr="00351C40" w:rsidRDefault="00C902D6" w:rsidP="00351C40">
      <w:pPr>
        <w:spacing w:line="360" w:lineRule="auto"/>
        <w:jc w:val="both"/>
        <w:rPr>
          <w:sz w:val="24"/>
          <w:szCs w:val="24"/>
          <w:lang w:val="en-US"/>
        </w:rPr>
      </w:pP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351C40" w:rsidRDefault="00607874" w:rsidP="00351C40">
      <w:pPr>
        <w:spacing w:line="360" w:lineRule="auto"/>
        <w:jc w:val="both"/>
        <w:rPr>
          <w:sz w:val="24"/>
          <w:szCs w:val="24"/>
          <w:lang w:val="en-US"/>
        </w:rPr>
      </w:pPr>
    </w:p>
    <w:p w:rsidR="00607874" w:rsidRPr="00351C40" w:rsidRDefault="00607874" w:rsidP="00351C40">
      <w:pPr>
        <w:spacing w:line="360" w:lineRule="auto"/>
        <w:jc w:val="both"/>
        <w:rPr>
          <w:sz w:val="24"/>
          <w:szCs w:val="24"/>
          <w:lang w:val="en-US"/>
        </w:rPr>
      </w:pPr>
    </w:p>
    <w:p w:rsidR="00607874" w:rsidRPr="00351C40" w:rsidRDefault="00607874" w:rsidP="00351C40">
      <w:pPr>
        <w:spacing w:line="360" w:lineRule="auto"/>
        <w:jc w:val="both"/>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351C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51C40" w:rsidRDefault="00A851DA" w:rsidP="00351C40">
            <w:pPr>
              <w:spacing w:line="360" w:lineRule="auto"/>
              <w:jc w:val="both"/>
              <w:rPr>
                <w:b/>
                <w:color w:val="002060"/>
                <w:sz w:val="24"/>
                <w:szCs w:val="24"/>
              </w:rPr>
            </w:pPr>
            <w:r w:rsidRPr="00351C40">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51C40" w:rsidRDefault="00351C40" w:rsidP="00351C40">
            <w:pPr>
              <w:pStyle w:val="Default"/>
              <w:spacing w:line="360" w:lineRule="auto"/>
              <w:jc w:val="both"/>
              <w:rPr>
                <w:rFonts w:asciiTheme="minorHAnsi" w:hAnsiTheme="minorHAnsi"/>
              </w:rPr>
            </w:pPr>
            <w:r>
              <w:rPr>
                <w:rFonts w:asciiTheme="minorHAnsi" w:hAnsiTheme="minorHAnsi"/>
              </w:rPr>
              <w:t>Malama James</w:t>
            </w:r>
          </w:p>
        </w:tc>
      </w:tr>
      <w:tr w:rsidR="00A851DA" w:rsidRPr="00351C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51C40" w:rsidRDefault="00A851DA" w:rsidP="00351C40">
            <w:pPr>
              <w:spacing w:line="360" w:lineRule="auto"/>
              <w:jc w:val="both"/>
              <w:rPr>
                <w:b/>
                <w:color w:val="002060"/>
                <w:sz w:val="24"/>
                <w:szCs w:val="24"/>
              </w:rPr>
            </w:pPr>
            <w:r w:rsidRPr="00351C40">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51C40" w:rsidRDefault="00351C40" w:rsidP="00351C40">
            <w:pPr>
              <w:pStyle w:val="Default"/>
              <w:spacing w:line="360" w:lineRule="auto"/>
              <w:jc w:val="both"/>
              <w:rPr>
                <w:rFonts w:asciiTheme="minorHAnsi" w:hAnsiTheme="minorHAnsi"/>
              </w:rPr>
            </w:pPr>
            <w:r>
              <w:rPr>
                <w:rFonts w:asciiTheme="minorHAnsi" w:hAnsiTheme="minorHAnsi"/>
              </w:rPr>
              <w:t>1424</w:t>
            </w:r>
          </w:p>
        </w:tc>
      </w:tr>
      <w:tr w:rsidR="00A851DA" w:rsidRPr="00351C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51C40" w:rsidRDefault="00A851DA" w:rsidP="00351C40">
            <w:pPr>
              <w:spacing w:line="360" w:lineRule="auto"/>
              <w:jc w:val="both"/>
              <w:rPr>
                <w:b/>
                <w:color w:val="002060"/>
                <w:sz w:val="24"/>
                <w:szCs w:val="24"/>
              </w:rPr>
            </w:pPr>
            <w:r w:rsidRPr="00351C40">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51C40" w:rsidRDefault="00351C40" w:rsidP="00351C40">
            <w:pPr>
              <w:pStyle w:val="Default"/>
              <w:spacing w:line="360" w:lineRule="auto"/>
              <w:jc w:val="both"/>
              <w:rPr>
                <w:rFonts w:asciiTheme="minorHAnsi" w:hAnsiTheme="minorHAnsi"/>
              </w:rPr>
            </w:pPr>
            <w:r>
              <w:rPr>
                <w:rFonts w:asciiTheme="minorHAnsi" w:hAnsiTheme="minorHAnsi"/>
              </w:rPr>
              <w:t>Human Resource Management</w:t>
            </w:r>
          </w:p>
        </w:tc>
      </w:tr>
      <w:tr w:rsidR="00A851DA" w:rsidRPr="00351C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51C40" w:rsidRDefault="00A851DA" w:rsidP="00351C40">
            <w:pPr>
              <w:spacing w:line="360" w:lineRule="auto"/>
              <w:jc w:val="both"/>
              <w:rPr>
                <w:b/>
                <w:color w:val="002060"/>
                <w:sz w:val="24"/>
                <w:szCs w:val="24"/>
              </w:rPr>
            </w:pPr>
            <w:r w:rsidRPr="00351C40">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51C40" w:rsidRDefault="00351C40" w:rsidP="00351C40">
            <w:pPr>
              <w:spacing w:line="360" w:lineRule="auto"/>
              <w:jc w:val="both"/>
              <w:rPr>
                <w:sz w:val="24"/>
                <w:szCs w:val="24"/>
              </w:rPr>
            </w:pPr>
            <w:r>
              <w:rPr>
                <w:sz w:val="24"/>
                <w:szCs w:val="24"/>
              </w:rPr>
              <w:t>Ten</w:t>
            </w:r>
          </w:p>
        </w:tc>
      </w:tr>
    </w:tbl>
    <w:p w:rsidR="00CC2FB3" w:rsidRPr="00351C40" w:rsidRDefault="00CC2FB3" w:rsidP="00351C40">
      <w:pPr>
        <w:spacing w:line="360" w:lineRule="auto"/>
        <w:jc w:val="both"/>
        <w:rPr>
          <w:b/>
          <w:sz w:val="24"/>
          <w:szCs w:val="24"/>
          <w:lang w:val="en-US"/>
        </w:rPr>
      </w:pPr>
    </w:p>
    <w:p w:rsidR="00443E6F" w:rsidRPr="00351C40" w:rsidRDefault="00527C11" w:rsidP="00351C40">
      <w:pPr>
        <w:spacing w:line="360" w:lineRule="auto"/>
        <w:jc w:val="both"/>
        <w:rPr>
          <w:b/>
          <w:sz w:val="24"/>
          <w:szCs w:val="24"/>
          <w:lang w:val="en-US"/>
        </w:rPr>
      </w:pPr>
      <w:r w:rsidRPr="00351C40">
        <w:rPr>
          <w:b/>
          <w:sz w:val="24"/>
          <w:szCs w:val="24"/>
          <w:lang w:val="en-US"/>
        </w:rPr>
        <w:t>Marking Criteria:</w:t>
      </w:r>
    </w:p>
    <w:p w:rsidR="00443E6F" w:rsidRPr="00351C40" w:rsidRDefault="00527C11" w:rsidP="00351C40">
      <w:pPr>
        <w:spacing w:line="360" w:lineRule="auto"/>
        <w:jc w:val="both"/>
        <w:rPr>
          <w:sz w:val="24"/>
          <w:szCs w:val="24"/>
          <w:lang w:val="en-US"/>
        </w:rPr>
      </w:pPr>
      <w:r w:rsidRPr="00351C40">
        <w:rPr>
          <w:b/>
          <w:sz w:val="24"/>
          <w:szCs w:val="24"/>
          <w:lang w:val="en-US"/>
        </w:rPr>
        <w:t xml:space="preserve"> </w:t>
      </w:r>
      <w:r w:rsidRPr="00351C40">
        <w:rPr>
          <w:sz w:val="24"/>
          <w:szCs w:val="24"/>
          <w:lang w:val="en-US"/>
        </w:rPr>
        <w:t>We expect the learner</w:t>
      </w:r>
      <w:r w:rsidR="00443E6F" w:rsidRPr="00351C40">
        <w:rPr>
          <w:sz w:val="24"/>
          <w:szCs w:val="24"/>
          <w:lang w:val="en-US"/>
        </w:rPr>
        <w:t>s</w:t>
      </w:r>
      <w:r w:rsidRPr="00351C40">
        <w:rPr>
          <w:sz w:val="24"/>
          <w:szCs w:val="24"/>
          <w:lang w:val="en-US"/>
        </w:rPr>
        <w:t xml:space="preserve"> to write minimum one well expressed point in</w:t>
      </w:r>
      <w:r w:rsidR="00443E6F" w:rsidRPr="00351C40">
        <w:rPr>
          <w:sz w:val="24"/>
          <w:szCs w:val="24"/>
          <w:lang w:val="en-US"/>
        </w:rPr>
        <w:t xml:space="preserve"> </w:t>
      </w:r>
      <w:r w:rsidRPr="00351C40">
        <w:rPr>
          <w:sz w:val="24"/>
          <w:szCs w:val="24"/>
          <w:lang w:val="en-US"/>
        </w:rPr>
        <w:t>three lines</w:t>
      </w:r>
      <w:r w:rsidR="00443E6F" w:rsidRPr="00351C40">
        <w:rPr>
          <w:sz w:val="24"/>
          <w:szCs w:val="24"/>
          <w:lang w:val="en-US"/>
        </w:rPr>
        <w:t xml:space="preserve"> against each allocated mark. This means one need</w:t>
      </w:r>
      <w:r w:rsidR="009E41F4" w:rsidRPr="00351C40">
        <w:rPr>
          <w:sz w:val="24"/>
          <w:szCs w:val="24"/>
          <w:lang w:val="en-US"/>
        </w:rPr>
        <w:t>s</w:t>
      </w:r>
      <w:r w:rsidR="00443E6F" w:rsidRPr="00351C40">
        <w:rPr>
          <w:sz w:val="24"/>
          <w:szCs w:val="24"/>
          <w:lang w:val="en-US"/>
        </w:rPr>
        <w:t xml:space="preserve"> to write 15 lines with </w:t>
      </w:r>
      <w:r w:rsidR="00402786" w:rsidRPr="00351C40">
        <w:rPr>
          <w:sz w:val="24"/>
          <w:szCs w:val="24"/>
          <w:lang w:val="en-US"/>
        </w:rPr>
        <w:t>5 well expressed</w:t>
      </w:r>
      <w:r w:rsidR="00443E6F" w:rsidRPr="00351C40">
        <w:rPr>
          <w:sz w:val="24"/>
          <w:szCs w:val="24"/>
          <w:lang w:val="en-US"/>
        </w:rPr>
        <w:t xml:space="preserve"> points to get high grades for a 5 marks question.</w:t>
      </w:r>
    </w:p>
    <w:p w:rsidR="00527C11" w:rsidRPr="00351C40" w:rsidRDefault="00687EE8" w:rsidP="00351C40">
      <w:pPr>
        <w:spacing w:line="360" w:lineRule="auto"/>
        <w:jc w:val="both"/>
        <w:rPr>
          <w:sz w:val="24"/>
          <w:szCs w:val="24"/>
          <w:lang w:val="en-US"/>
        </w:rPr>
      </w:pPr>
      <w:r w:rsidRPr="00351C40">
        <w:rPr>
          <w:sz w:val="24"/>
          <w:szCs w:val="24"/>
          <w:lang w:val="en-US"/>
        </w:rPr>
        <w:t xml:space="preserve">For high grades use </w:t>
      </w:r>
      <w:r w:rsidR="00527C11" w:rsidRPr="00351C40">
        <w:rPr>
          <w:sz w:val="24"/>
          <w:szCs w:val="24"/>
          <w:lang w:val="en-US"/>
        </w:rPr>
        <w:t xml:space="preserve">examples and illustrations </w:t>
      </w:r>
      <w:r w:rsidR="00443E6F" w:rsidRPr="00351C40">
        <w:rPr>
          <w:sz w:val="24"/>
          <w:szCs w:val="24"/>
          <w:lang w:val="en-US"/>
        </w:rPr>
        <w:t>where appropriate</w:t>
      </w:r>
      <w:r w:rsidRPr="00351C40">
        <w:rPr>
          <w:sz w:val="24"/>
          <w:szCs w:val="24"/>
          <w:lang w:val="en-US"/>
        </w:rPr>
        <w:t>.</w:t>
      </w:r>
      <w:r w:rsidR="00443E6F" w:rsidRPr="00351C40">
        <w:rPr>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351C40" w:rsidTr="00CC2FB3">
        <w:tc>
          <w:tcPr>
            <w:tcW w:w="9242" w:type="dxa"/>
          </w:tcPr>
          <w:p w:rsidR="00CC2FB3" w:rsidRPr="00351C40" w:rsidRDefault="00CC2FB3" w:rsidP="00351C40">
            <w:pPr>
              <w:spacing w:line="360" w:lineRule="auto"/>
              <w:jc w:val="both"/>
              <w:rPr>
                <w:rFonts w:ascii="Arial" w:hAnsi="Arial" w:cs="Arial"/>
                <w:sz w:val="24"/>
                <w:szCs w:val="24"/>
              </w:rPr>
            </w:pPr>
          </w:p>
          <w:p w:rsidR="00351C40" w:rsidRPr="00351C40" w:rsidRDefault="00351C40" w:rsidP="00351C40">
            <w:pPr>
              <w:spacing w:line="360" w:lineRule="auto"/>
              <w:jc w:val="both"/>
              <w:rPr>
                <w:rFonts w:ascii="Arial" w:hAnsi="Arial" w:cs="Arial"/>
                <w:sz w:val="24"/>
                <w:szCs w:val="24"/>
              </w:rPr>
            </w:pPr>
            <w:r>
              <w:rPr>
                <w:rFonts w:ascii="Arial" w:hAnsi="Arial" w:cs="Arial"/>
                <w:sz w:val="24"/>
                <w:szCs w:val="24"/>
              </w:rPr>
              <w:t xml:space="preserve">Question one </w:t>
            </w:r>
          </w:p>
          <w:p w:rsidR="00351C40" w:rsidRPr="00351C40" w:rsidRDefault="00351C40" w:rsidP="00351C40">
            <w:pPr>
              <w:numPr>
                <w:ilvl w:val="0"/>
                <w:numId w:val="2"/>
              </w:numPr>
              <w:spacing w:line="360" w:lineRule="auto"/>
              <w:jc w:val="both"/>
              <w:rPr>
                <w:rFonts w:ascii="Arial" w:hAnsi="Arial" w:cs="Arial"/>
                <w:sz w:val="24"/>
                <w:szCs w:val="24"/>
              </w:rPr>
            </w:pPr>
            <w:r w:rsidRPr="00351C40">
              <w:rPr>
                <w:rFonts w:ascii="Arial" w:hAnsi="Arial" w:cs="Arial"/>
                <w:sz w:val="24"/>
                <w:szCs w:val="24"/>
              </w:rPr>
              <w:t xml:space="preserve">Causes </w:t>
            </w:r>
            <w:r w:rsidRPr="00351C40">
              <w:rPr>
                <w:rFonts w:ascii="Calibri" w:hAnsi="Calibri" w:cs="Calibri"/>
                <w:sz w:val="24"/>
                <w:szCs w:val="24"/>
              </w:rPr>
              <w:t>and effects of grievances.</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231F20"/>
                <w:sz w:val="24"/>
                <w:szCs w:val="24"/>
              </w:rPr>
              <w:t>a) Economic:</w:t>
            </w:r>
            <w:r w:rsidRPr="00351C40">
              <w:rPr>
                <w:rFonts w:ascii="Calibri,BoldItalic" w:hAnsi="Calibri,BoldItalic" w:cs="Calibri,BoldItalic"/>
                <w:b/>
                <w:bCs/>
                <w:i/>
                <w:iCs/>
                <w:color w:val="231F20"/>
                <w:sz w:val="24"/>
                <w:szCs w:val="24"/>
              </w:rPr>
              <w:t xml:space="preserve"> </w:t>
            </w:r>
            <w:r w:rsidRPr="00351C40">
              <w:rPr>
                <w:rFonts w:ascii="Calibri" w:hAnsi="Calibri" w:cs="Calibri"/>
                <w:color w:val="000000"/>
                <w:sz w:val="24"/>
                <w:szCs w:val="24"/>
              </w:rPr>
              <w:t>Wage fixation, overtime, bonus, wage revision, etc. Employees may feel that they are paid less when compared to others.</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231F20"/>
                <w:sz w:val="24"/>
                <w:szCs w:val="24"/>
              </w:rPr>
              <w:t>b) Work Environment:</w:t>
            </w:r>
            <w:r w:rsidRPr="00351C40">
              <w:rPr>
                <w:rFonts w:ascii="Calibri,BoldItalic" w:hAnsi="Calibri,BoldItalic" w:cs="Calibri,BoldItalic"/>
                <w:b/>
                <w:bCs/>
                <w:i/>
                <w:iCs/>
                <w:color w:val="231F20"/>
                <w:sz w:val="24"/>
                <w:szCs w:val="24"/>
              </w:rPr>
              <w:t xml:space="preserve"> </w:t>
            </w:r>
            <w:r w:rsidRPr="00351C40">
              <w:rPr>
                <w:rFonts w:ascii="Calibri" w:hAnsi="Calibri" w:cs="Calibri"/>
                <w:color w:val="000000"/>
                <w:sz w:val="24"/>
                <w:szCs w:val="24"/>
              </w:rPr>
              <w:t>Poor physical conditions of workplace, tight production norms, defective tools and equipment, poor quality of materials, unfair rules, lack of recognition, etc.</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231F20"/>
                <w:sz w:val="24"/>
                <w:szCs w:val="24"/>
              </w:rPr>
              <w:t>c) Supervision</w:t>
            </w:r>
            <w:r w:rsidRPr="00351C40">
              <w:rPr>
                <w:rFonts w:ascii="Calibri,BoldItalic" w:hAnsi="Calibri,BoldItalic" w:cs="Calibri,BoldItalic"/>
                <w:b/>
                <w:bCs/>
                <w:i/>
                <w:iCs/>
                <w:color w:val="7030A1"/>
                <w:sz w:val="24"/>
                <w:szCs w:val="24"/>
              </w:rPr>
              <w:t>:</w:t>
            </w:r>
            <w:r w:rsidRPr="00351C40">
              <w:rPr>
                <w:rFonts w:ascii="Calibri,BoldItalic" w:hAnsi="Calibri,BoldItalic" w:cs="Calibri,BoldItalic"/>
                <w:b/>
                <w:bCs/>
                <w:i/>
                <w:iCs/>
                <w:color w:val="231F20"/>
                <w:sz w:val="24"/>
                <w:szCs w:val="24"/>
              </w:rPr>
              <w:t xml:space="preserve"> </w:t>
            </w:r>
            <w:r w:rsidRPr="00351C40">
              <w:rPr>
                <w:rFonts w:ascii="Calibri" w:hAnsi="Calibri" w:cs="Calibri"/>
                <w:color w:val="000000"/>
                <w:sz w:val="24"/>
                <w:szCs w:val="24"/>
              </w:rPr>
              <w:t>Relates to the attitudes of the supervisor towards the employee such as perceived notions of bias, favoritism, nepotism, caste affiliations, regional feelings, etc.</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231F20"/>
                <w:sz w:val="24"/>
                <w:szCs w:val="24"/>
              </w:rPr>
              <w:t>d) Work group:</w:t>
            </w:r>
            <w:r w:rsidRPr="00351C40">
              <w:rPr>
                <w:rFonts w:ascii="Calibri,BoldItalic" w:hAnsi="Calibri,BoldItalic" w:cs="Calibri,BoldItalic"/>
                <w:b/>
                <w:bCs/>
                <w:i/>
                <w:iCs/>
                <w:color w:val="231F20"/>
                <w:sz w:val="24"/>
                <w:szCs w:val="24"/>
              </w:rPr>
              <w:t xml:space="preserve"> </w:t>
            </w:r>
            <w:r w:rsidRPr="00351C40">
              <w:rPr>
                <w:rFonts w:ascii="Calibri" w:hAnsi="Calibri" w:cs="Calibri"/>
                <w:color w:val="000000"/>
                <w:sz w:val="24"/>
                <w:szCs w:val="24"/>
              </w:rPr>
              <w:t>Employee is unable to adjust with his colleagues; suffers from feelings of neglect, victimization and becomes an object of ridicule and humiliation, etc.</w:t>
            </w:r>
          </w:p>
          <w:p w:rsid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231F20"/>
                <w:sz w:val="24"/>
                <w:szCs w:val="24"/>
              </w:rPr>
              <w:t>e) Miscellaneous:</w:t>
            </w:r>
            <w:r w:rsidRPr="00351C40">
              <w:rPr>
                <w:rFonts w:ascii="Calibri,BoldItalic" w:hAnsi="Calibri,BoldItalic" w:cs="Calibri,BoldItalic"/>
                <w:b/>
                <w:bCs/>
                <w:i/>
                <w:iCs/>
                <w:color w:val="231F20"/>
                <w:sz w:val="24"/>
                <w:szCs w:val="24"/>
              </w:rPr>
              <w:t xml:space="preserve"> </w:t>
            </w:r>
            <w:r w:rsidRPr="00351C40">
              <w:rPr>
                <w:rFonts w:ascii="Calibri" w:hAnsi="Calibri" w:cs="Calibri"/>
                <w:color w:val="000000"/>
                <w:sz w:val="24"/>
                <w:szCs w:val="24"/>
              </w:rPr>
              <w:t>These include issues relating to certain violations in respect of</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 </w:t>
            </w:r>
            <w:r>
              <w:rPr>
                <w:rFonts w:ascii="Arial" w:hAnsi="Arial" w:cs="Arial"/>
                <w:sz w:val="24"/>
                <w:szCs w:val="24"/>
                <w:lang w:val="en-GB"/>
              </w:rPr>
              <w:t>10</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Page #: 2</w:t>
            </w:r>
          </w:p>
          <w:p w:rsid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promotions, safety methods, transfer, disciplinary rules, fines, granting </w:t>
            </w:r>
            <w:r>
              <w:rPr>
                <w:rFonts w:ascii="Calibri" w:hAnsi="Calibri" w:cs="Calibri"/>
                <w:color w:val="000000"/>
                <w:sz w:val="24"/>
                <w:szCs w:val="24"/>
              </w:rPr>
              <w:t>leave, medical facilities, etc.</w:t>
            </w:r>
          </w:p>
          <w:p w:rsidR="00351C40" w:rsidRPr="00351C40" w:rsidRDefault="00351C40" w:rsidP="00351C40">
            <w:pPr>
              <w:numPr>
                <w:ilvl w:val="0"/>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Why organizations should have a formal </w:t>
            </w:r>
            <w:r w:rsidRPr="00351C40">
              <w:rPr>
                <w:rFonts w:ascii="Calibri" w:hAnsi="Calibri" w:cs="Calibri"/>
                <w:sz w:val="24"/>
                <w:szCs w:val="24"/>
              </w:rPr>
              <w:t>grievance procedure</w:t>
            </w:r>
          </w:p>
          <w:p w:rsidR="00351C40" w:rsidRPr="00351C40" w:rsidRDefault="00351C40" w:rsidP="00351C40">
            <w:pPr>
              <w:autoSpaceDE w:val="0"/>
              <w:autoSpaceDN w:val="0"/>
              <w:adjustRightInd w:val="0"/>
              <w:spacing w:line="360" w:lineRule="auto"/>
              <w:ind w:left="540"/>
              <w:jc w:val="both"/>
              <w:rPr>
                <w:rFonts w:ascii="Calibri" w:hAnsi="Calibri" w:cs="Calibri"/>
                <w:sz w:val="24"/>
                <w:szCs w:val="24"/>
              </w:rPr>
            </w:pPr>
            <w:r w:rsidRPr="00351C40">
              <w:rPr>
                <w:rFonts w:ascii="Calibri" w:hAnsi="Calibri" w:cs="Calibri"/>
                <w:sz w:val="24"/>
                <w:szCs w:val="24"/>
              </w:rPr>
              <w:t xml:space="preserve">Organizations which do not have an adequate grievance procedure are exposed on a number of fronts. The lack of procedures can lead to claims of constructive dismissal when an employee claims that they had no option but resign their employment as a result of the way they been treated. Tribunals will look at whether there was a grievance procedure in place and whether the employee used this procedure before resigning </w:t>
            </w:r>
          </w:p>
          <w:p w:rsidR="00351C40" w:rsidRPr="00351C40" w:rsidRDefault="00351C40" w:rsidP="00351C40">
            <w:pPr>
              <w:autoSpaceDE w:val="0"/>
              <w:autoSpaceDN w:val="0"/>
              <w:adjustRightInd w:val="0"/>
              <w:spacing w:line="360" w:lineRule="auto"/>
              <w:ind w:left="540"/>
              <w:jc w:val="both"/>
              <w:rPr>
                <w:rFonts w:ascii="Calibri" w:hAnsi="Calibri" w:cs="Calibri"/>
                <w:sz w:val="24"/>
                <w:szCs w:val="24"/>
              </w:rPr>
            </w:pPr>
            <w:r w:rsidRPr="00351C40">
              <w:rPr>
                <w:rFonts w:ascii="Calibri" w:hAnsi="Calibri" w:cs="Calibri"/>
                <w:sz w:val="24"/>
                <w:szCs w:val="24"/>
              </w:rPr>
              <w:t xml:space="preserve">If an employee feels unfairly treated this can result in a serious and potentially costly claim of discrimination. Again this can often be avoided by having an internal disputes resolution procedure a.k.a a grievance procedure.    </w:t>
            </w:r>
          </w:p>
          <w:p w:rsidR="00351C40" w:rsidRPr="00351C40" w:rsidRDefault="00351C40" w:rsidP="00351C40">
            <w:pPr>
              <w:numPr>
                <w:ilvl w:val="0"/>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sz w:val="24"/>
                <w:szCs w:val="24"/>
              </w:rPr>
              <w:t>meaning and concept of discipline</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Discipline is defined as the regulations or conditions that are imposed on employees by management in order to either correct or prevent behaviors that are detrimental to an organization.</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The purpose of employee discipline is not to embarrass or degrade an employee. The purpose is to ensure that the employee is deemed acceptable by the organization. Does this mean that employee that employee discipline is nothing more than being threatened with being fired? Of course it doesn’t. Employee discipline is much more than that.</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Examples of misconduct which could result in discipline </w:t>
            </w:r>
          </w:p>
          <w:p w:rsidR="00351C40" w:rsidRP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excessive tardiness </w:t>
            </w:r>
          </w:p>
          <w:p w:rsidR="00351C40" w:rsidRP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failure to notify of an absence </w:t>
            </w:r>
          </w:p>
          <w:p w:rsidR="00351C40" w:rsidRP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insubordination </w:t>
            </w:r>
          </w:p>
          <w:p w:rsid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rude or abusive language in the workplace </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 </w:t>
            </w:r>
            <w:r>
              <w:rPr>
                <w:rFonts w:ascii="Arial" w:hAnsi="Arial" w:cs="Arial"/>
                <w:sz w:val="24"/>
                <w:szCs w:val="24"/>
                <w:lang w:val="en-GB"/>
              </w:rPr>
              <w:t>10</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Pr>
                <w:rFonts w:ascii="Arial" w:hAnsi="Arial" w:cs="Arial"/>
                <w:sz w:val="24"/>
                <w:szCs w:val="24"/>
                <w:lang w:val="en-GB"/>
              </w:rPr>
              <w:t xml:space="preserve">                       Page #: 3</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failure to follow “departmental rules or policies “,i.e. not wearing safety equipment ,not following correct cash handling procedures</w:t>
            </w:r>
          </w:p>
          <w:p w:rsidR="00351C40" w:rsidRP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dishonesty </w:t>
            </w:r>
          </w:p>
          <w:p w:rsidR="00351C40" w:rsidRPr="00351C40" w:rsidRDefault="00351C40" w:rsidP="00351C40">
            <w:pPr>
              <w:numPr>
                <w:ilvl w:val="0"/>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theft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In reviewing whether or not the management was correct in its choice of discipline, arbitrators have looked at a number of factors must be taken into account when deciding to use discipline </w:t>
            </w:r>
          </w:p>
          <w:p w:rsidR="00351C40" w:rsidRPr="00351C40" w:rsidRDefault="00351C40" w:rsidP="00351C40">
            <w:pPr>
              <w:numPr>
                <w:ilvl w:val="1"/>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Did the employee clearly understand the true policy that was violated?</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For example: where the work rules or policy provided to the employee prior to the violation. It is management’s responsibility to prove that the employee knew the rule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w:t>
            </w:r>
          </w:p>
          <w:p w:rsidR="00351C40" w:rsidRPr="00351C40" w:rsidRDefault="00351C40" w:rsidP="00351C40">
            <w:pPr>
              <w:numPr>
                <w:ilvl w:val="1"/>
                <w:numId w:val="4"/>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Provocation: was the employee pushed into acting rudely or violently as a result of management or a customer’s actions. This is a very common defense for employees involved in insubordination.  </w:t>
            </w:r>
          </w:p>
          <w:p w:rsidR="00351C40" w:rsidRPr="00351C40" w:rsidRDefault="00351C40" w:rsidP="00351C40">
            <w:pPr>
              <w:numPr>
                <w:ilvl w:val="0"/>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sz w:val="24"/>
                <w:szCs w:val="24"/>
              </w:rPr>
              <w:t>The stages of disciplinary action procedure</w:t>
            </w:r>
          </w:p>
          <w:p w:rsidR="00351C40" w:rsidRPr="00351C40" w:rsidRDefault="00351C40" w:rsidP="00351C40">
            <w:pPr>
              <w:numPr>
                <w:ilvl w:val="1"/>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Rebuke: The simple ‘Don’t do that’ or ‘Smoking is not allowed in here’ or ‘If you’re late again, you will be in trouble’ is all that is needed in most situations, as someone has forgotten one of the rules, had not realized it was to be taken seriously, or was perhaps testing the resolution of the management. Too frequently, managers are reluctant to risk defiance and tend to wait until they have a good case for more serious action rather than deploy their own, there-and-then authority.</w:t>
            </w:r>
          </w:p>
          <w:p w:rsidR="00351C40" w:rsidRDefault="00351C40" w:rsidP="00351C40">
            <w:pPr>
              <w:numPr>
                <w:ilvl w:val="1"/>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Caution: Slightly more serious and formal is the caution, which is then recorded. This is not triggering the procedure for dismissal; it is just making a</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w:t>
            </w:r>
            <w:r>
              <w:rPr>
                <w:rFonts w:ascii="Arial" w:hAnsi="Arial" w:cs="Arial"/>
                <w:sz w:val="24"/>
                <w:szCs w:val="24"/>
                <w:lang w:val="en-GB"/>
              </w:rPr>
              <w:t>10</w:t>
            </w:r>
          </w:p>
          <w:p w:rsidR="00351C40" w:rsidRPr="00351C40"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Pr>
                <w:rFonts w:ascii="Arial" w:hAnsi="Arial" w:cs="Arial"/>
                <w:sz w:val="24"/>
                <w:szCs w:val="24"/>
                <w:lang w:val="en-GB"/>
              </w:rPr>
              <w:t xml:space="preserve">                       Page #: 4</w:t>
            </w:r>
          </w:p>
          <w:p w:rsidR="00351C40" w:rsidRPr="00351C40" w:rsidRDefault="00351C40" w:rsidP="00351C40">
            <w:pPr>
              <w:autoSpaceDE w:val="0"/>
              <w:autoSpaceDN w:val="0"/>
              <w:adjustRightInd w:val="0"/>
              <w:spacing w:line="360" w:lineRule="auto"/>
              <w:ind w:left="1440"/>
              <w:jc w:val="both"/>
              <w:rPr>
                <w:rFonts w:ascii="Calibri" w:hAnsi="Calibri" w:cs="Calibri"/>
                <w:color w:val="000000"/>
                <w:sz w:val="24"/>
                <w:szCs w:val="24"/>
              </w:rPr>
            </w:pPr>
            <w:r w:rsidRPr="00351C40">
              <w:rPr>
                <w:rFonts w:ascii="Calibri" w:hAnsi="Calibri" w:cs="Calibri"/>
                <w:color w:val="000000"/>
                <w:sz w:val="24"/>
                <w:szCs w:val="24"/>
              </w:rPr>
              <w:t xml:space="preserve"> note of a rule being broken and an offence being pointed out.</w:t>
            </w:r>
          </w:p>
          <w:p w:rsidR="00351C40" w:rsidRPr="00351C40" w:rsidRDefault="00351C40" w:rsidP="00351C40">
            <w:pPr>
              <w:numPr>
                <w:ilvl w:val="1"/>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Warnings:</w:t>
            </w:r>
            <w:r w:rsidRPr="00351C40">
              <w:rPr>
                <w:rFonts w:ascii="Calibri,Bold" w:hAnsi="Calibri,Bold" w:cs="Calibri,Bold"/>
                <w:b/>
                <w:bCs/>
                <w:color w:val="000000"/>
                <w:sz w:val="24"/>
                <w:szCs w:val="24"/>
              </w:rPr>
              <w:t xml:space="preserve"> </w:t>
            </w:r>
            <w:r w:rsidRPr="00351C40">
              <w:rPr>
                <w:rFonts w:ascii="Calibri" w:hAnsi="Calibri" w:cs="Calibri"/>
                <w:color w:val="000000"/>
                <w:sz w:val="24"/>
                <w:szCs w:val="24"/>
              </w:rPr>
              <w:t>When managers begin to issue warnings, great care is required because unfair dismissal legislation has made the system of warnings an integral part of disciplinary practice, which must be followed if the employer is to succeed in defending a possible claim of unfair dismissal at tribunal. For the employer to show procedural fairness there should normally be a formal oral warning, or a written warning, specifying the nature of the offence and the likely outcome if the offence is repeated. It should also be made clear that this is the first, formal stage in the procedure. Further misconduct could then warrant a final written warning containing a statement that further repetition would lead to a penalty such as suspension or dismissal. All written warnings should be dated, signed and kept on record for an agreed period. The means of appeal against the disciplinary action should also be pointed out.</w:t>
            </w:r>
          </w:p>
          <w:p w:rsidR="00351C40" w:rsidRPr="00351C40" w:rsidRDefault="00351C40" w:rsidP="00351C40">
            <w:pPr>
              <w:numPr>
                <w:ilvl w:val="1"/>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Disciplinary transfer or demotion:</w:t>
            </w:r>
            <w:r w:rsidRPr="00351C40">
              <w:rPr>
                <w:rFonts w:ascii="Calibri,Bold" w:hAnsi="Calibri,Bold" w:cs="Calibri,Bold"/>
                <w:b/>
                <w:bCs/>
                <w:color w:val="000000"/>
                <w:sz w:val="24"/>
                <w:szCs w:val="24"/>
              </w:rPr>
              <w:t xml:space="preserve"> </w:t>
            </w:r>
            <w:r w:rsidRPr="00351C40">
              <w:rPr>
                <w:rFonts w:ascii="Calibri" w:hAnsi="Calibri" w:cs="Calibri"/>
                <w:color w:val="000000"/>
                <w:sz w:val="24"/>
                <w:szCs w:val="24"/>
              </w:rPr>
              <w:t>This is moving the employee to less attractive work, possibly carrying a lower salary. The seriousness of this is that it is public, as the employee’s colleagues know the reason. A form of disciplinary transfer is found on assembly lines, where there are some jobs that are more attractive and carry higher status than others. Rule breakers may be ‘pushed down the line’ until their contempt is purged and they are able to move back up.</w:t>
            </w:r>
          </w:p>
          <w:p w:rsidR="00351C40" w:rsidRDefault="00351C40" w:rsidP="00351C40">
            <w:pPr>
              <w:numPr>
                <w:ilvl w:val="1"/>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Suspension: This tactic has the benefit of being serious and is not as long lasting as demotion. The employer has a contractual obligation to provide pay, but not to provide work, so it is easy to suspend someone from duty with pay either as a punishment or while an alleged offence is being investigated. If the contract of employment permits, it may also be possible to suspend the employee for a short period without pay. The important </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 </w:t>
            </w:r>
            <w:r>
              <w:rPr>
                <w:rFonts w:ascii="Arial" w:hAnsi="Arial" w:cs="Arial"/>
                <w:sz w:val="24"/>
                <w:szCs w:val="24"/>
                <w:lang w:val="en-GB"/>
              </w:rPr>
              <w:t>10</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Pr>
                <w:rFonts w:ascii="Arial" w:hAnsi="Arial" w:cs="Arial"/>
                <w:sz w:val="24"/>
                <w:szCs w:val="24"/>
                <w:lang w:val="en-GB"/>
              </w:rPr>
              <w:t xml:space="preserve">                       Page #: 5</w:t>
            </w:r>
          </w:p>
          <w:p w:rsid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numPr>
                <w:ilvl w:val="1"/>
                <w:numId w:val="2"/>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general comment about penalties is that they should be appropriate in the circumstances. Where someone is, for instance, persistently late or absent, suspension would be a strange penalty. Also penalties must be within the law. An employee cannot be demoted or transferred at managerial whim, and unpaid suspension can only be imposed if the contract of employment allows it.</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Question two</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numPr>
                <w:ilvl w:val="0"/>
                <w:numId w:val="3"/>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Fairness</w:t>
            </w:r>
            <w:r w:rsidRPr="00351C40">
              <w:rPr>
                <w:rFonts w:ascii="Calibri,Bold" w:hAnsi="Calibri,Bold" w:cs="Calibri,Bold"/>
                <w:b/>
                <w:bCs/>
                <w:color w:val="7030A1"/>
                <w:sz w:val="24"/>
                <w:szCs w:val="24"/>
              </w:rPr>
              <w:t xml:space="preserve"> </w:t>
            </w:r>
            <w:r w:rsidRPr="00351C40">
              <w:rPr>
                <w:rFonts w:ascii="Calibri" w:hAnsi="Calibri" w:cs="Calibri"/>
                <w:color w:val="000000"/>
                <w:sz w:val="24"/>
                <w:szCs w:val="24"/>
              </w:rPr>
              <w:t>is needed, to be just, but also to keep the procedure viable. If employees develop the belief that the procedure is only a sham, then its value will be lost and other means will be sought to deal with grievances. Fairness is best supported by the obvious evenhandedness of the ways in which grievances are handled, but it will be greatly enhanced if the appeal stage is either to a joint body or to independent arbitration, as the management is relinquishing the chance to be judge of its own cause.</w:t>
            </w:r>
          </w:p>
          <w:p w:rsidR="00351C40" w:rsidRPr="00351C40" w:rsidRDefault="00351C40" w:rsidP="00351C40">
            <w:pPr>
              <w:numPr>
                <w:ilvl w:val="0"/>
                <w:numId w:val="3"/>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Representation can help the individual employee who lacks the confidence or experience to take on the management single-handedly. A representative, such as a union official, has the advantage of having dealt with a range of employee problems and may be able to advise the aggrieved person whether the claim is worth pursuing. There is always the risk that the presence of the representative may produce a defensive management attitude that is affected by a number of other issues on which the manager and union official may be at loggerheads. Therefore the managers involved in hearing the grievance have to cast the representative in the correct role for the occasion.</w:t>
            </w:r>
          </w:p>
          <w:p w:rsidR="00351C40" w:rsidRDefault="00351C40" w:rsidP="00351C40">
            <w:pPr>
              <w:numPr>
                <w:ilvl w:val="0"/>
                <w:numId w:val="3"/>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Procedural steps should be limited to three. There is no value in having more just because there are more levels in the management hierarchy. This will only lengthen </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 </w:t>
            </w:r>
            <w:r>
              <w:rPr>
                <w:rFonts w:ascii="Arial" w:hAnsi="Arial" w:cs="Arial"/>
                <w:sz w:val="24"/>
                <w:szCs w:val="24"/>
                <w:lang w:val="en-GB"/>
              </w:rPr>
              <w:t>10</w:t>
            </w:r>
          </w:p>
          <w:p w:rsidR="00351C40" w:rsidRPr="00351C40"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Pr>
                <w:rFonts w:ascii="Arial" w:hAnsi="Arial" w:cs="Arial"/>
                <w:sz w:val="24"/>
                <w:szCs w:val="24"/>
                <w:lang w:val="en-GB"/>
              </w:rPr>
              <w:t xml:space="preserve">                       Page #: 6</w:t>
            </w:r>
          </w:p>
          <w:p w:rsidR="00351C40" w:rsidRPr="00351C40" w:rsidRDefault="00351C40" w:rsidP="00351C40">
            <w:pPr>
              <w:numPr>
                <w:ilvl w:val="0"/>
                <w:numId w:val="3"/>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the time taken to deal with matters and will soon bring the procedure into disrepute. The reason for advocating three steps is that three types of management activity are involved in settling grievances. Nevertheless, it is quite common for there to be more than three steps where there is a steep hierarchy, within which there may be further, more senior, people to whom the matter could be referred. The reason for there being more steps has nothing to do with how to process grievances but is purely a function of the organization structure.</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a) The first step is the preliminary, when the grievance is lodged with the immediate superior of the person with the complaint. In the normal working week most managers will have a variety of queries from members of their departments, some of which could become grievances, depending on the manager’s reaction. Mostly the manager will either satisfy the employee or the employee will decide not to pursue the matter. Sometimes, however, a person will want to take the issue further. This is the preliminary step in procedure, but it is a tangible step as the manager has the opportunity to review any decisions made that have caused the dissatisfaction, possibly enabling the dissatisfied employee to withdraw the grievance. In our experience it is rare for matters to be taken any further unless the subject of the grievance is something on which company policy is being tested. b) The hearing gives the complainant the opportunity to state the grievance to a more senior manager, who is able to take a broader view of the matter than the immediate superior and who may be able both to see the issue more dispassionately and to perceive solutions that the more limited perspective of the immediate superior obscured. It is important for the management that the hearing should finalize the matter whenever possible, so that recourse to appeal is not automatic.</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The hearing should not be seen by the employees as no more than an irritating milestone on the way to the real decision makers. This is why procedural steps should be limited to three.</w:t>
            </w:r>
          </w:p>
          <w:p w:rsid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Bold" w:hAnsi="Calibri,Bold" w:cs="Calibri,Bold"/>
                <w:bCs/>
                <w:color w:val="333333"/>
                <w:sz w:val="24"/>
                <w:szCs w:val="24"/>
              </w:rPr>
              <w:t>c)</w:t>
            </w:r>
            <w:r w:rsidRPr="00351C40">
              <w:rPr>
                <w:rFonts w:ascii="Calibri,Bold" w:hAnsi="Calibri,Bold" w:cs="Calibri,Bold"/>
                <w:b/>
                <w:bCs/>
                <w:color w:val="333333"/>
                <w:sz w:val="24"/>
                <w:szCs w:val="24"/>
              </w:rPr>
              <w:t xml:space="preserve"> </w:t>
            </w:r>
            <w:r w:rsidRPr="00351C40">
              <w:rPr>
                <w:rFonts w:ascii="Calibri" w:hAnsi="Calibri" w:cs="Calibri"/>
                <w:color w:val="000000"/>
                <w:sz w:val="24"/>
                <w:szCs w:val="24"/>
              </w:rPr>
              <w:t>If there is an appeal, this will usually be to a designated more senior manager, and the outcome will be either a confirmation or a modification of the decision at the hearing.</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 </w:t>
            </w:r>
            <w:r>
              <w:rPr>
                <w:rFonts w:ascii="Arial" w:hAnsi="Arial" w:cs="Arial"/>
                <w:sz w:val="24"/>
                <w:szCs w:val="24"/>
                <w:lang w:val="en-GB"/>
              </w:rPr>
              <w:t>10</w:t>
            </w:r>
          </w:p>
          <w:p w:rsidR="00351C40" w:rsidRPr="00351C40"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Pr>
                <w:rFonts w:ascii="Arial" w:hAnsi="Arial" w:cs="Arial"/>
                <w:sz w:val="24"/>
                <w:szCs w:val="24"/>
                <w:lang w:val="en-GB"/>
              </w:rPr>
              <w:t xml:space="preserve">                       Page #: 7</w:t>
            </w:r>
          </w:p>
          <w:p w:rsidR="00351C40" w:rsidRPr="00351C40" w:rsidRDefault="00351C40" w:rsidP="00351C40">
            <w:pPr>
              <w:numPr>
                <w:ilvl w:val="0"/>
                <w:numId w:val="3"/>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Promptness avoids the bitterness and frustration that comes from delay. When an employee ‘goes into procedure’, it is like pulling the communication cord in a train. The action is not taken lightly and is in anticipation of a swift resolution. Furthermore, the manager whose decision is being questioned will have a difficult time until the matter is resolved. The most familiar device to speed things up is to incorporate time limits between the steps, specifying that the hearing should take place no later than, say, four working days after the preliminary notice and that the appeal should be no more than five working days after the hearing. This gives time for reflection and initiative by the manager or the complainant between the stages, but does not leave time for the matter to be forgotten.</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Activity</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w:t>
            </w:r>
          </w:p>
          <w:p w:rsidR="00351C40" w:rsidRPr="00351C40" w:rsidRDefault="00351C40" w:rsidP="00351C40">
            <w:pPr>
              <w:autoSpaceDE w:val="0"/>
              <w:autoSpaceDN w:val="0"/>
              <w:adjustRightInd w:val="0"/>
              <w:spacing w:line="360" w:lineRule="auto"/>
              <w:jc w:val="both"/>
              <w:rPr>
                <w:rFonts w:ascii="Calibri" w:hAnsi="Calibri" w:cs="Calibri"/>
                <w:sz w:val="24"/>
                <w:szCs w:val="24"/>
              </w:rPr>
            </w:pPr>
            <w:r w:rsidRPr="00351C40">
              <w:rPr>
                <w:rFonts w:ascii="Calibri" w:hAnsi="Calibri" w:cs="Calibri"/>
                <w:sz w:val="24"/>
                <w:szCs w:val="24"/>
              </w:rPr>
              <w:t>The grievance procedures and practices in an organization</w:t>
            </w:r>
          </w:p>
          <w:p w:rsidR="00351C40" w:rsidRPr="00351C40" w:rsidRDefault="00351C40" w:rsidP="00351C40">
            <w:pPr>
              <w:autoSpaceDE w:val="0"/>
              <w:autoSpaceDN w:val="0"/>
              <w:adjustRightInd w:val="0"/>
              <w:spacing w:line="360" w:lineRule="auto"/>
              <w:jc w:val="both"/>
              <w:rPr>
                <w:rFonts w:ascii="Calibri" w:hAnsi="Calibri" w:cs="Calibri"/>
                <w:sz w:val="24"/>
                <w:szCs w:val="24"/>
              </w:rPr>
            </w:pPr>
            <w:r w:rsidRPr="00351C40">
              <w:rPr>
                <w:rFonts w:ascii="Calibri" w:hAnsi="Calibri" w:cs="Calibri"/>
                <w:color w:val="000000"/>
                <w:sz w:val="24"/>
                <w:szCs w:val="24"/>
              </w:rPr>
              <w:t xml:space="preserve">A </w:t>
            </w:r>
            <w:r w:rsidRPr="00351C40">
              <w:rPr>
                <w:rFonts w:ascii="Calibri" w:hAnsi="Calibri" w:cs="Calibri"/>
                <w:sz w:val="24"/>
                <w:szCs w:val="24"/>
              </w:rPr>
              <w:t xml:space="preserve">Grievance is a </w:t>
            </w:r>
            <w:r w:rsidRPr="00351C40">
              <w:rPr>
                <w:rFonts w:ascii="Calibri,Bold" w:hAnsi="Calibri,Bold" w:cs="Calibri,Bold"/>
                <w:bCs/>
                <w:color w:val="000000"/>
                <w:sz w:val="24"/>
                <w:szCs w:val="24"/>
              </w:rPr>
              <w:t>complaint</w:t>
            </w:r>
            <w:r w:rsidRPr="00351C40">
              <w:rPr>
                <w:rFonts w:ascii="Calibri" w:hAnsi="Calibri" w:cs="Calibri"/>
                <w:color w:val="000000"/>
                <w:sz w:val="24"/>
                <w:szCs w:val="24"/>
              </w:rPr>
              <w:t xml:space="preserve"> that has been formally presented to an appropriate management</w:t>
            </w:r>
            <w:r w:rsidRPr="00351C40">
              <w:rPr>
                <w:rFonts w:ascii="Calibri" w:hAnsi="Calibri" w:cs="Calibri"/>
                <w:sz w:val="24"/>
                <w:szCs w:val="24"/>
              </w:rPr>
              <w:t xml:space="preserve"> </w:t>
            </w:r>
            <w:r w:rsidRPr="00351C40">
              <w:rPr>
                <w:rFonts w:ascii="Calibri" w:hAnsi="Calibri" w:cs="Calibri"/>
                <w:color w:val="000000"/>
                <w:sz w:val="24"/>
                <w:szCs w:val="24"/>
              </w:rPr>
              <w:t>representative or to a union official.</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There are numerous incidents or situations that can lead to an employee holding a grievance. They can be extremely serious, such as a sexual assault or a severe safety hazard. They may be less serious in totality but of serious concern to the employee, such as a new shift Rota, a failure to consider for promotion, a critical appraisal report, a lack of opportunity for overtime or too much pressure of work. In this report I will looked at the importance of listening to the grievances of the employees and the value of the grievance procedure.</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Grievances are an essential element in an organization; it helps employees have a sense of belonging if their top managers have a listening ear. Employees make a formal grievance complaint if they have tried solving the problem by talking to the manager but not satisfied.</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lastRenderedPageBreak/>
              <w:t xml:space="preserve">                                                                                          Name: Malama James</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Student #: 1424</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sidRPr="00606103">
              <w:rPr>
                <w:rFonts w:ascii="Arial" w:hAnsi="Arial" w:cs="Arial"/>
                <w:sz w:val="24"/>
                <w:szCs w:val="24"/>
                <w:lang w:val="en-GB"/>
              </w:rPr>
              <w:t xml:space="preserve">                 Assignment #: </w:t>
            </w:r>
            <w:r>
              <w:rPr>
                <w:rFonts w:ascii="Arial" w:hAnsi="Arial" w:cs="Arial"/>
                <w:sz w:val="24"/>
                <w:szCs w:val="24"/>
                <w:lang w:val="en-GB"/>
              </w:rPr>
              <w:t>10</w:t>
            </w:r>
          </w:p>
          <w:p w:rsidR="00351C40" w:rsidRPr="00853EFD" w:rsidRDefault="00351C40" w:rsidP="00351C40">
            <w:pPr>
              <w:spacing w:after="200" w:line="276" w:lineRule="auto"/>
              <w:rPr>
                <w:rFonts w:ascii="Arial" w:hAnsi="Arial" w:cs="Arial"/>
                <w:sz w:val="24"/>
                <w:szCs w:val="24"/>
                <w:lang w:val="en-GB"/>
              </w:rPr>
            </w:pPr>
            <w:r w:rsidRPr="00853EFD">
              <w:rPr>
                <w:rFonts w:ascii="Arial" w:hAnsi="Arial" w:cs="Arial"/>
                <w:sz w:val="24"/>
                <w:szCs w:val="24"/>
                <w:lang w:val="en-GB"/>
              </w:rPr>
              <w:t xml:space="preserve">                                                                   </w:t>
            </w:r>
            <w:r>
              <w:rPr>
                <w:rFonts w:ascii="Arial" w:hAnsi="Arial" w:cs="Arial"/>
                <w:sz w:val="24"/>
                <w:szCs w:val="24"/>
                <w:lang w:val="en-GB"/>
              </w:rPr>
              <w:t xml:space="preserve">                       Page #: </w:t>
            </w:r>
            <w:r w:rsidR="00C902D6">
              <w:rPr>
                <w:rFonts w:ascii="Arial" w:hAnsi="Arial" w:cs="Arial"/>
                <w:sz w:val="24"/>
                <w:szCs w:val="24"/>
                <w:lang w:val="en-GB"/>
              </w:rPr>
              <w:t>8</w:t>
            </w:r>
          </w:p>
          <w:p w:rsid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The manager puts their grievance procedure in writing employees should be able to find this in the</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    </w:t>
            </w:r>
          </w:p>
          <w:p w:rsidR="00351C40" w:rsidRPr="00351C40" w:rsidRDefault="00351C40" w:rsidP="00351C40">
            <w:pPr>
              <w:numPr>
                <w:ilvl w:val="0"/>
                <w:numId w:val="5"/>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Company handbook </w:t>
            </w:r>
          </w:p>
          <w:p w:rsidR="00351C40" w:rsidRPr="00351C40" w:rsidRDefault="00351C40" w:rsidP="00351C40">
            <w:pPr>
              <w:numPr>
                <w:ilvl w:val="0"/>
                <w:numId w:val="5"/>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Human resource manual </w:t>
            </w:r>
          </w:p>
          <w:p w:rsidR="00351C40" w:rsidRPr="00351C40" w:rsidRDefault="00351C40" w:rsidP="00351C40">
            <w:pPr>
              <w:numPr>
                <w:ilvl w:val="0"/>
                <w:numId w:val="5"/>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Employment contract</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The organization’s grievance procedure includes these</w:t>
            </w:r>
            <w:r w:rsidR="00C902D6">
              <w:rPr>
                <w:rFonts w:ascii="Calibri" w:hAnsi="Calibri" w:cs="Calibri"/>
                <w:color w:val="000000"/>
                <w:sz w:val="24"/>
                <w:szCs w:val="24"/>
              </w:rPr>
              <w:t xml:space="preserve"> steps</w:t>
            </w:r>
          </w:p>
          <w:p w:rsidR="00351C40" w:rsidRPr="00351C40" w:rsidRDefault="00351C40" w:rsidP="00351C40">
            <w:pPr>
              <w:numPr>
                <w:ilvl w:val="0"/>
                <w:numId w:val="6"/>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Employee writing the letter to the management setting out the details of the grievances </w:t>
            </w:r>
          </w:p>
          <w:p w:rsidR="00351C40" w:rsidRPr="00351C40" w:rsidRDefault="00351C40" w:rsidP="00351C40">
            <w:pPr>
              <w:numPr>
                <w:ilvl w:val="0"/>
                <w:numId w:val="6"/>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A meeting with the management to discuss the issue </w:t>
            </w:r>
          </w:p>
          <w:p w:rsidR="00351C40" w:rsidRPr="00C902D6" w:rsidRDefault="00351C40" w:rsidP="00351C40">
            <w:pPr>
              <w:numPr>
                <w:ilvl w:val="0"/>
                <w:numId w:val="6"/>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The ability to appeal to the management’s decision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Disciplinary action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Employees might face disciplinary action if the management has decided they have a serious issue with the employee and their work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The management puts their disciplinary procedure in writing this contains </w:t>
            </w:r>
          </w:p>
          <w:p w:rsidR="00351C40" w:rsidRPr="00351C40" w:rsidRDefault="00351C40" w:rsidP="00351C40">
            <w:pPr>
              <w:numPr>
                <w:ilvl w:val="0"/>
                <w:numId w:val="7"/>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The organizations’ disciplinary procedure rules </w:t>
            </w:r>
          </w:p>
          <w:p w:rsidR="00351C40" w:rsidRPr="00351C40" w:rsidRDefault="00351C40" w:rsidP="00351C40">
            <w:pPr>
              <w:numPr>
                <w:ilvl w:val="0"/>
                <w:numId w:val="7"/>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What performance and behavior might lead to disciplinary action </w:t>
            </w:r>
          </w:p>
          <w:p w:rsidR="00351C40" w:rsidRPr="00C902D6" w:rsidRDefault="00351C40" w:rsidP="00351C40">
            <w:pPr>
              <w:numPr>
                <w:ilvl w:val="0"/>
                <w:numId w:val="7"/>
              </w:num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What the organization might take and the employees right to appeal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 xml:space="preserve">Suspension from work </w:t>
            </w:r>
          </w:p>
          <w:p w:rsidR="00351C40" w:rsidRPr="00351C40" w:rsidRDefault="00351C40" w:rsidP="00351C40">
            <w:pPr>
              <w:autoSpaceDE w:val="0"/>
              <w:autoSpaceDN w:val="0"/>
              <w:adjustRightInd w:val="0"/>
              <w:spacing w:line="360" w:lineRule="auto"/>
              <w:jc w:val="both"/>
              <w:rPr>
                <w:rFonts w:ascii="Calibri" w:hAnsi="Calibri" w:cs="Calibri"/>
                <w:color w:val="000000"/>
                <w:sz w:val="24"/>
                <w:szCs w:val="24"/>
              </w:rPr>
            </w:pPr>
            <w:r w:rsidRPr="00351C40">
              <w:rPr>
                <w:rFonts w:ascii="Calibri" w:hAnsi="Calibri" w:cs="Calibri"/>
                <w:color w:val="000000"/>
                <w:sz w:val="24"/>
                <w:szCs w:val="24"/>
              </w:rPr>
              <w:t>If an employee is facing discipline over a serious issue, the management may be able to suspend him/her during the time leading up to a disciplinary meeting. Employees can check their employment contract or company handbook to see if they are entitled to be paid when suspended.</w:t>
            </w:r>
          </w:p>
          <w:p w:rsidR="00CC2FB3" w:rsidRPr="00351C40" w:rsidRDefault="00CC2FB3" w:rsidP="00351C40">
            <w:pPr>
              <w:spacing w:line="360" w:lineRule="auto"/>
              <w:jc w:val="both"/>
              <w:rPr>
                <w:b/>
                <w:sz w:val="24"/>
                <w:szCs w:val="24"/>
              </w:rPr>
            </w:pPr>
          </w:p>
          <w:p w:rsidR="00CC2FB3" w:rsidRPr="00C902D6" w:rsidRDefault="00C902D6" w:rsidP="00351C40">
            <w:pPr>
              <w:spacing w:line="360" w:lineRule="auto"/>
              <w:jc w:val="both"/>
              <w:rPr>
                <w:sz w:val="24"/>
                <w:szCs w:val="24"/>
              </w:rPr>
            </w:pPr>
            <w:r w:rsidRPr="00C902D6">
              <w:rPr>
                <w:sz w:val="24"/>
                <w:szCs w:val="24"/>
              </w:rPr>
              <w:lastRenderedPageBreak/>
              <w:t>Bibliography</w:t>
            </w:r>
          </w:p>
          <w:p w:rsidR="00C902D6" w:rsidRPr="00C902D6" w:rsidRDefault="00C902D6" w:rsidP="00C902D6">
            <w:pPr>
              <w:pStyle w:val="ListParagraph"/>
              <w:numPr>
                <w:ilvl w:val="0"/>
                <w:numId w:val="8"/>
              </w:numPr>
              <w:spacing w:line="360" w:lineRule="auto"/>
              <w:jc w:val="both"/>
              <w:rPr>
                <w:sz w:val="24"/>
                <w:szCs w:val="24"/>
              </w:rPr>
            </w:pPr>
            <w:r w:rsidRPr="00C902D6">
              <w:rPr>
                <w:sz w:val="24"/>
                <w:szCs w:val="24"/>
              </w:rPr>
              <w:t xml:space="preserve">Nick wilton,(2011), An Introduction to Human Resource Management </w:t>
            </w:r>
          </w:p>
          <w:p w:rsidR="00C902D6" w:rsidRPr="00C902D6" w:rsidRDefault="00C902D6" w:rsidP="00C902D6">
            <w:pPr>
              <w:pStyle w:val="ListParagraph"/>
              <w:numPr>
                <w:ilvl w:val="0"/>
                <w:numId w:val="8"/>
              </w:numPr>
              <w:spacing w:line="360" w:lineRule="auto"/>
              <w:jc w:val="both"/>
              <w:rPr>
                <w:sz w:val="24"/>
                <w:szCs w:val="24"/>
              </w:rPr>
            </w:pPr>
            <w:r w:rsidRPr="00C902D6">
              <w:rPr>
                <w:sz w:val="24"/>
                <w:szCs w:val="24"/>
              </w:rPr>
              <w:t>Michael Armstrong (2012),Armstrong’s Handbook of Human Resource Management Practice</w:t>
            </w:r>
          </w:p>
          <w:p w:rsidR="00C902D6" w:rsidRPr="00C902D6" w:rsidRDefault="00C902D6" w:rsidP="00C902D6">
            <w:pPr>
              <w:pStyle w:val="ListParagraph"/>
              <w:numPr>
                <w:ilvl w:val="0"/>
                <w:numId w:val="8"/>
              </w:numPr>
              <w:spacing w:line="360" w:lineRule="auto"/>
              <w:jc w:val="both"/>
              <w:rPr>
                <w:sz w:val="24"/>
                <w:szCs w:val="24"/>
              </w:rPr>
            </w:pPr>
            <w:r w:rsidRPr="00C902D6">
              <w:rPr>
                <w:sz w:val="24"/>
                <w:szCs w:val="24"/>
              </w:rPr>
              <w:t>Brentwood open learning college lecture notes (unit 10)Grievances procedure ,Discipline and Dismissal</w:t>
            </w:r>
          </w:p>
          <w:p w:rsidR="00CC2FB3" w:rsidRPr="00C902D6" w:rsidRDefault="00CC2FB3" w:rsidP="00351C40">
            <w:pPr>
              <w:spacing w:line="360" w:lineRule="auto"/>
              <w:jc w:val="both"/>
              <w:rPr>
                <w:sz w:val="24"/>
                <w:szCs w:val="24"/>
              </w:rPr>
            </w:pPr>
          </w:p>
          <w:p w:rsidR="00CC2FB3" w:rsidRPr="00351C40" w:rsidRDefault="00CC2FB3" w:rsidP="00351C40">
            <w:pPr>
              <w:spacing w:line="360" w:lineRule="auto"/>
              <w:jc w:val="both"/>
              <w:rPr>
                <w:b/>
                <w:sz w:val="24"/>
                <w:szCs w:val="24"/>
              </w:rPr>
            </w:pPr>
          </w:p>
          <w:p w:rsidR="00CC2FB3" w:rsidRPr="00351C40" w:rsidRDefault="00CC2FB3" w:rsidP="00351C40">
            <w:pPr>
              <w:spacing w:line="360" w:lineRule="auto"/>
              <w:jc w:val="both"/>
              <w:rPr>
                <w:b/>
                <w:sz w:val="24"/>
                <w:szCs w:val="24"/>
              </w:rPr>
            </w:pPr>
            <w:bookmarkStart w:id="0" w:name="_GoBack"/>
            <w:bookmarkEnd w:id="0"/>
          </w:p>
          <w:p w:rsidR="00CC2FB3" w:rsidRPr="00351C40" w:rsidRDefault="00CC2FB3" w:rsidP="00351C40">
            <w:pPr>
              <w:spacing w:line="360" w:lineRule="auto"/>
              <w:jc w:val="both"/>
              <w:rPr>
                <w:b/>
                <w:sz w:val="24"/>
                <w:szCs w:val="24"/>
              </w:rPr>
            </w:pPr>
          </w:p>
          <w:p w:rsidR="00CC2FB3" w:rsidRPr="00351C40" w:rsidRDefault="00CC2FB3" w:rsidP="00351C40">
            <w:pPr>
              <w:spacing w:line="360" w:lineRule="auto"/>
              <w:jc w:val="both"/>
              <w:rPr>
                <w:b/>
                <w:sz w:val="24"/>
                <w:szCs w:val="24"/>
              </w:rPr>
            </w:pPr>
          </w:p>
          <w:p w:rsidR="00CC2FB3" w:rsidRPr="00351C40" w:rsidRDefault="00CC2FB3" w:rsidP="00351C40">
            <w:pPr>
              <w:spacing w:line="360" w:lineRule="auto"/>
              <w:jc w:val="both"/>
              <w:rPr>
                <w:b/>
                <w:sz w:val="24"/>
                <w:szCs w:val="24"/>
              </w:rPr>
            </w:pPr>
          </w:p>
          <w:p w:rsidR="00CC2FB3" w:rsidRPr="00351C40" w:rsidRDefault="00CC2FB3" w:rsidP="00351C40">
            <w:pPr>
              <w:spacing w:line="360" w:lineRule="auto"/>
              <w:jc w:val="both"/>
              <w:rPr>
                <w:b/>
                <w:sz w:val="24"/>
                <w:szCs w:val="24"/>
              </w:rPr>
            </w:pPr>
          </w:p>
          <w:p w:rsidR="00CC2FB3" w:rsidRPr="00351C40" w:rsidRDefault="00CC2FB3" w:rsidP="00351C40">
            <w:pPr>
              <w:spacing w:line="360" w:lineRule="auto"/>
              <w:jc w:val="both"/>
              <w:rPr>
                <w:b/>
                <w:sz w:val="24"/>
                <w:szCs w:val="24"/>
              </w:rPr>
            </w:pPr>
          </w:p>
        </w:tc>
      </w:tr>
    </w:tbl>
    <w:p w:rsidR="00503D7E" w:rsidRPr="00351C40" w:rsidRDefault="00503D7E" w:rsidP="00351C40">
      <w:pPr>
        <w:autoSpaceDE w:val="0"/>
        <w:autoSpaceDN w:val="0"/>
        <w:adjustRightInd w:val="0"/>
        <w:spacing w:after="0" w:line="360" w:lineRule="auto"/>
        <w:jc w:val="both"/>
        <w:rPr>
          <w:rFonts w:cs="CalvertMT-Bold"/>
          <w:b/>
          <w:bCs/>
          <w:color w:val="002060"/>
          <w:sz w:val="24"/>
          <w:szCs w:val="24"/>
          <w:lang w:val="en-US"/>
        </w:rPr>
      </w:pPr>
    </w:p>
    <w:p w:rsidR="00A851DA" w:rsidRPr="00351C40" w:rsidRDefault="00AE1481" w:rsidP="00351C40">
      <w:pPr>
        <w:autoSpaceDE w:val="0"/>
        <w:autoSpaceDN w:val="0"/>
        <w:adjustRightInd w:val="0"/>
        <w:spacing w:after="0" w:line="360" w:lineRule="auto"/>
        <w:jc w:val="both"/>
        <w:rPr>
          <w:rFonts w:cs="CalvertMT-Bold"/>
          <w:b/>
          <w:bCs/>
          <w:color w:val="002060"/>
          <w:sz w:val="24"/>
          <w:szCs w:val="24"/>
          <w:lang w:val="en-US"/>
        </w:rPr>
      </w:pPr>
      <w:r w:rsidRPr="00351C40">
        <w:rPr>
          <w:rFonts w:cs="CalvertMT-Bold"/>
          <w:b/>
          <w:bCs/>
          <w:color w:val="002060"/>
          <w:sz w:val="24"/>
          <w:szCs w:val="24"/>
          <w:lang w:val="en-US"/>
        </w:rPr>
        <w:t>Student</w:t>
      </w:r>
      <w:r w:rsidR="00A851DA" w:rsidRPr="00351C40">
        <w:rPr>
          <w:rFonts w:cs="CalvertMT-Bold"/>
          <w:b/>
          <w:bCs/>
          <w:color w:val="002060"/>
          <w:sz w:val="24"/>
          <w:szCs w:val="24"/>
          <w:lang w:val="en-US"/>
        </w:rPr>
        <w:t xml:space="preserve"> Statement:</w:t>
      </w:r>
    </w:p>
    <w:p w:rsidR="00A851DA" w:rsidRPr="00351C40" w:rsidRDefault="00A851DA" w:rsidP="00351C40">
      <w:pPr>
        <w:autoSpaceDE w:val="0"/>
        <w:autoSpaceDN w:val="0"/>
        <w:adjustRightInd w:val="0"/>
        <w:spacing w:after="0" w:line="360" w:lineRule="auto"/>
        <w:jc w:val="both"/>
        <w:rPr>
          <w:rFonts w:cs="CalvertMT-Bold"/>
          <w:b/>
          <w:bCs/>
          <w:color w:val="001AE6"/>
          <w:sz w:val="24"/>
          <w:szCs w:val="24"/>
          <w:lang w:val="en-US"/>
        </w:rPr>
      </w:pPr>
    </w:p>
    <w:p w:rsidR="00A851DA" w:rsidRPr="00351C40" w:rsidRDefault="00405895" w:rsidP="00351C40">
      <w:pPr>
        <w:autoSpaceDE w:val="0"/>
        <w:autoSpaceDN w:val="0"/>
        <w:adjustRightInd w:val="0"/>
        <w:spacing w:after="0" w:line="360" w:lineRule="auto"/>
        <w:jc w:val="both"/>
        <w:rPr>
          <w:rFonts w:cs="Bliss-Regular"/>
          <w:color w:val="000000"/>
          <w:sz w:val="24"/>
          <w:szCs w:val="24"/>
          <w:lang w:val="en-US"/>
        </w:rPr>
      </w:pPr>
      <w:r w:rsidRPr="00351C40">
        <w:rPr>
          <w:rFonts w:cs="Bliss-Regular"/>
          <w:color w:val="000000"/>
          <w:sz w:val="24"/>
          <w:szCs w:val="24"/>
          <w:lang w:val="en-US"/>
        </w:rPr>
        <w:t>By submitting this assignment, I confirm that this is my own work.</w:t>
      </w:r>
    </w:p>
    <w:p w:rsidR="00503D7E" w:rsidRPr="00351C40" w:rsidRDefault="00503D7E" w:rsidP="00351C40">
      <w:pPr>
        <w:autoSpaceDE w:val="0"/>
        <w:autoSpaceDN w:val="0"/>
        <w:adjustRightInd w:val="0"/>
        <w:spacing w:after="0" w:line="360" w:lineRule="auto"/>
        <w:jc w:val="both"/>
        <w:rPr>
          <w:rFonts w:cs="Bliss-Regular"/>
          <w:color w:val="000000"/>
          <w:sz w:val="24"/>
          <w:szCs w:val="24"/>
          <w:lang w:val="en-US"/>
        </w:rPr>
      </w:pPr>
    </w:p>
    <w:p w:rsidR="00503D7E" w:rsidRPr="00351C40" w:rsidRDefault="00503D7E" w:rsidP="00351C40">
      <w:pPr>
        <w:autoSpaceDE w:val="0"/>
        <w:autoSpaceDN w:val="0"/>
        <w:adjustRightInd w:val="0"/>
        <w:spacing w:after="0" w:line="360" w:lineRule="auto"/>
        <w:jc w:val="both"/>
        <w:rPr>
          <w:rFonts w:cs="Bliss-Regular"/>
          <w:color w:val="000000"/>
          <w:sz w:val="24"/>
          <w:szCs w:val="24"/>
          <w:lang w:val="en-US"/>
        </w:rPr>
      </w:pPr>
    </w:p>
    <w:p w:rsidR="00A851DA" w:rsidRPr="00351C40" w:rsidRDefault="00A851DA" w:rsidP="00351C40">
      <w:pPr>
        <w:autoSpaceDE w:val="0"/>
        <w:autoSpaceDN w:val="0"/>
        <w:adjustRightInd w:val="0"/>
        <w:spacing w:after="0" w:line="360" w:lineRule="auto"/>
        <w:jc w:val="both"/>
        <w:rPr>
          <w:rFonts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351C40" w:rsidTr="00405895">
        <w:tc>
          <w:tcPr>
            <w:tcW w:w="2310" w:type="dxa"/>
            <w:shd w:val="clear" w:color="auto" w:fill="D9D9D9" w:themeFill="background1" w:themeFillShade="D9"/>
          </w:tcPr>
          <w:p w:rsidR="00405895" w:rsidRPr="00351C40" w:rsidRDefault="00405895" w:rsidP="00351C40">
            <w:pPr>
              <w:spacing w:line="360" w:lineRule="auto"/>
              <w:jc w:val="both"/>
              <w:rPr>
                <w:rFonts w:cs="Bliss-Regular"/>
                <w:color w:val="000000"/>
                <w:sz w:val="24"/>
                <w:szCs w:val="24"/>
              </w:rPr>
            </w:pPr>
            <w:r w:rsidRPr="00351C40">
              <w:rPr>
                <w:rFonts w:cs="Bliss-Regular"/>
                <w:color w:val="000000"/>
                <w:sz w:val="24"/>
                <w:szCs w:val="24"/>
              </w:rPr>
              <w:t>Student Signature</w:t>
            </w:r>
          </w:p>
        </w:tc>
        <w:tc>
          <w:tcPr>
            <w:tcW w:w="4035" w:type="dxa"/>
          </w:tcPr>
          <w:p w:rsidR="00405895" w:rsidRPr="00351C40" w:rsidRDefault="00405895" w:rsidP="00351C40">
            <w:pPr>
              <w:spacing w:line="360" w:lineRule="auto"/>
              <w:jc w:val="both"/>
              <w:rPr>
                <w:rFonts w:cs="Bliss-Regular"/>
                <w:color w:val="000000"/>
                <w:sz w:val="24"/>
                <w:szCs w:val="24"/>
              </w:rPr>
            </w:pPr>
          </w:p>
        </w:tc>
        <w:tc>
          <w:tcPr>
            <w:tcW w:w="1276" w:type="dxa"/>
            <w:shd w:val="clear" w:color="auto" w:fill="D9D9D9" w:themeFill="background1" w:themeFillShade="D9"/>
          </w:tcPr>
          <w:p w:rsidR="00405895" w:rsidRPr="00351C40" w:rsidRDefault="00405895" w:rsidP="00351C40">
            <w:pPr>
              <w:spacing w:line="360" w:lineRule="auto"/>
              <w:jc w:val="both"/>
              <w:rPr>
                <w:rFonts w:cs="Bliss-Regular"/>
                <w:color w:val="000000"/>
                <w:sz w:val="24"/>
                <w:szCs w:val="24"/>
              </w:rPr>
            </w:pPr>
            <w:r w:rsidRPr="00351C40">
              <w:rPr>
                <w:rFonts w:cs="Bliss-Regular"/>
                <w:color w:val="000000"/>
                <w:sz w:val="24"/>
                <w:szCs w:val="24"/>
              </w:rPr>
              <w:t>Date</w:t>
            </w:r>
          </w:p>
        </w:tc>
        <w:tc>
          <w:tcPr>
            <w:tcW w:w="1621" w:type="dxa"/>
          </w:tcPr>
          <w:p w:rsidR="00405895" w:rsidRPr="00351C40" w:rsidRDefault="00405895" w:rsidP="00351C40">
            <w:pPr>
              <w:spacing w:line="360" w:lineRule="auto"/>
              <w:jc w:val="both"/>
              <w:rPr>
                <w:rFonts w:cs="Bliss-Regular"/>
                <w:color w:val="000000"/>
                <w:sz w:val="24"/>
                <w:szCs w:val="24"/>
              </w:rPr>
            </w:pPr>
          </w:p>
        </w:tc>
      </w:tr>
    </w:tbl>
    <w:p w:rsidR="00A851DA" w:rsidRPr="00351C40" w:rsidRDefault="00A851DA" w:rsidP="00351C40">
      <w:pPr>
        <w:spacing w:line="360" w:lineRule="auto"/>
        <w:jc w:val="both"/>
        <w:rPr>
          <w:rFonts w:cs="Bliss-Regular"/>
          <w:color w:val="000000"/>
          <w:sz w:val="24"/>
          <w:szCs w:val="24"/>
          <w:lang w:val="en-US"/>
        </w:rPr>
      </w:pPr>
    </w:p>
    <w:p w:rsidR="00A851DA" w:rsidRPr="00351C40" w:rsidRDefault="00A851DA" w:rsidP="00351C40">
      <w:pPr>
        <w:spacing w:line="360" w:lineRule="auto"/>
        <w:jc w:val="both"/>
        <w:rPr>
          <w:rFonts w:cs="Bliss-Regular"/>
          <w:color w:val="000000"/>
          <w:sz w:val="24"/>
          <w:szCs w:val="24"/>
          <w:lang w:val="en-US"/>
        </w:rPr>
      </w:pPr>
    </w:p>
    <w:p w:rsidR="00A851DA" w:rsidRPr="00351C40" w:rsidRDefault="00503D7E" w:rsidP="00351C40">
      <w:pPr>
        <w:shd w:val="clear" w:color="auto" w:fill="D9D9D9" w:themeFill="background1" w:themeFillShade="D9"/>
        <w:spacing w:line="360" w:lineRule="auto"/>
        <w:jc w:val="both"/>
        <w:rPr>
          <w:b/>
          <w:sz w:val="24"/>
          <w:szCs w:val="24"/>
          <w:lang w:val="en-US"/>
        </w:rPr>
      </w:pPr>
      <w:r w:rsidRPr="00351C40">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351C40" w:rsidTr="00B0415E">
        <w:trPr>
          <w:trHeight w:val="249"/>
        </w:trPr>
        <w:tc>
          <w:tcPr>
            <w:tcW w:w="4621" w:type="dxa"/>
            <w:shd w:val="clear" w:color="auto" w:fill="D9D9D9" w:themeFill="background1" w:themeFillShade="D9"/>
          </w:tcPr>
          <w:p w:rsidR="00503D7E" w:rsidRPr="00351C40" w:rsidRDefault="00503D7E" w:rsidP="00351C40">
            <w:pPr>
              <w:spacing w:line="360" w:lineRule="auto"/>
              <w:jc w:val="both"/>
              <w:rPr>
                <w:b/>
                <w:color w:val="002060"/>
                <w:sz w:val="24"/>
                <w:szCs w:val="24"/>
              </w:rPr>
            </w:pPr>
            <w:r w:rsidRPr="00351C40">
              <w:rPr>
                <w:b/>
                <w:color w:val="002060"/>
                <w:sz w:val="24"/>
                <w:szCs w:val="24"/>
              </w:rPr>
              <w:t>Total Marks</w:t>
            </w:r>
          </w:p>
        </w:tc>
        <w:tc>
          <w:tcPr>
            <w:tcW w:w="4621" w:type="dxa"/>
          </w:tcPr>
          <w:p w:rsidR="00503D7E" w:rsidRPr="00351C40" w:rsidRDefault="00503D7E" w:rsidP="00351C40">
            <w:pPr>
              <w:spacing w:line="360" w:lineRule="auto"/>
              <w:jc w:val="both"/>
              <w:rPr>
                <w:rFonts w:cs="Times New Roman"/>
                <w:sz w:val="24"/>
                <w:szCs w:val="24"/>
              </w:rPr>
            </w:pPr>
          </w:p>
        </w:tc>
      </w:tr>
      <w:tr w:rsidR="00503D7E" w:rsidRPr="00351C40" w:rsidTr="00B0415E">
        <w:tc>
          <w:tcPr>
            <w:tcW w:w="4621" w:type="dxa"/>
            <w:shd w:val="clear" w:color="auto" w:fill="D9D9D9" w:themeFill="background1" w:themeFillShade="D9"/>
          </w:tcPr>
          <w:p w:rsidR="00503D7E" w:rsidRPr="00351C40" w:rsidRDefault="00503D7E" w:rsidP="00351C40">
            <w:pPr>
              <w:spacing w:line="360" w:lineRule="auto"/>
              <w:jc w:val="both"/>
              <w:rPr>
                <w:b/>
                <w:color w:val="002060"/>
                <w:sz w:val="24"/>
                <w:szCs w:val="24"/>
              </w:rPr>
            </w:pPr>
            <w:r w:rsidRPr="00351C40">
              <w:rPr>
                <w:b/>
                <w:color w:val="002060"/>
                <w:sz w:val="24"/>
                <w:szCs w:val="24"/>
              </w:rPr>
              <w:t>Marks Obtained</w:t>
            </w:r>
          </w:p>
        </w:tc>
        <w:tc>
          <w:tcPr>
            <w:tcW w:w="4621" w:type="dxa"/>
          </w:tcPr>
          <w:p w:rsidR="00503D7E" w:rsidRPr="00351C40" w:rsidRDefault="00503D7E" w:rsidP="00351C40">
            <w:pPr>
              <w:spacing w:line="360" w:lineRule="auto"/>
              <w:jc w:val="both"/>
              <w:rPr>
                <w:rFonts w:cs="Times New Roman"/>
                <w:sz w:val="24"/>
                <w:szCs w:val="24"/>
              </w:rPr>
            </w:pPr>
          </w:p>
        </w:tc>
      </w:tr>
      <w:tr w:rsidR="00503D7E" w:rsidRPr="00351C40" w:rsidTr="00B0415E">
        <w:tc>
          <w:tcPr>
            <w:tcW w:w="4621" w:type="dxa"/>
            <w:shd w:val="clear" w:color="auto" w:fill="D9D9D9" w:themeFill="background1" w:themeFillShade="D9"/>
          </w:tcPr>
          <w:p w:rsidR="00503D7E" w:rsidRPr="00351C40" w:rsidRDefault="00B0415E" w:rsidP="00351C40">
            <w:pPr>
              <w:spacing w:line="360" w:lineRule="auto"/>
              <w:jc w:val="both"/>
              <w:rPr>
                <w:b/>
                <w:color w:val="002060"/>
                <w:sz w:val="24"/>
                <w:szCs w:val="24"/>
              </w:rPr>
            </w:pPr>
            <w:r w:rsidRPr="00351C40">
              <w:rPr>
                <w:b/>
                <w:color w:val="002060"/>
                <w:sz w:val="24"/>
                <w:szCs w:val="24"/>
              </w:rPr>
              <w:t>Percentage / Grade</w:t>
            </w:r>
          </w:p>
        </w:tc>
        <w:tc>
          <w:tcPr>
            <w:tcW w:w="4621" w:type="dxa"/>
          </w:tcPr>
          <w:p w:rsidR="00503D7E" w:rsidRPr="00351C40" w:rsidRDefault="00503D7E" w:rsidP="00351C40">
            <w:pPr>
              <w:spacing w:line="360" w:lineRule="auto"/>
              <w:jc w:val="both"/>
              <w:rPr>
                <w:rFonts w:cs="Times New Roman"/>
                <w:sz w:val="24"/>
                <w:szCs w:val="24"/>
              </w:rPr>
            </w:pPr>
          </w:p>
        </w:tc>
      </w:tr>
    </w:tbl>
    <w:p w:rsidR="00A851DA" w:rsidRPr="00351C40" w:rsidRDefault="00A851DA"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607874" w:rsidRPr="00351C40" w:rsidRDefault="00607874" w:rsidP="00351C40">
      <w:pPr>
        <w:spacing w:line="360" w:lineRule="auto"/>
        <w:jc w:val="both"/>
        <w:rPr>
          <w:rFonts w:cs="Times New Roman"/>
          <w:sz w:val="24"/>
          <w:szCs w:val="24"/>
        </w:rPr>
      </w:pPr>
    </w:p>
    <w:p w:rsidR="00EA30AB" w:rsidRPr="00351C40" w:rsidRDefault="00EA30AB" w:rsidP="00351C40">
      <w:pPr>
        <w:spacing w:line="360" w:lineRule="auto"/>
        <w:jc w:val="both"/>
        <w:rPr>
          <w:rFonts w:cs="Times New Roman"/>
          <w:sz w:val="24"/>
          <w:szCs w:val="24"/>
        </w:rPr>
      </w:pPr>
    </w:p>
    <w:p w:rsidR="00EA30AB" w:rsidRPr="00351C40" w:rsidRDefault="00EA30AB" w:rsidP="00351C40">
      <w:pPr>
        <w:spacing w:line="360" w:lineRule="auto"/>
        <w:jc w:val="both"/>
        <w:rPr>
          <w:rFonts w:cs="Times New Roman"/>
          <w:sz w:val="24"/>
          <w:szCs w:val="24"/>
        </w:rPr>
      </w:pPr>
    </w:p>
    <w:p w:rsidR="00EA30AB" w:rsidRPr="00351C40" w:rsidRDefault="00EA30AB" w:rsidP="00351C40">
      <w:pPr>
        <w:spacing w:line="360" w:lineRule="auto"/>
        <w:jc w:val="both"/>
        <w:rPr>
          <w:rFonts w:cs="Times New Roman"/>
          <w:sz w:val="24"/>
          <w:szCs w:val="24"/>
        </w:rPr>
      </w:pPr>
    </w:p>
    <w:sectPr w:rsidR="00EA30AB" w:rsidRPr="00351C4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A4C" w:rsidRDefault="00614A4C" w:rsidP="00CB4D0A">
      <w:pPr>
        <w:spacing w:after="0" w:line="240" w:lineRule="auto"/>
      </w:pPr>
      <w:r>
        <w:separator/>
      </w:r>
    </w:p>
  </w:endnote>
  <w:endnote w:type="continuationSeparator" w:id="0">
    <w:p w:rsidR="00614A4C" w:rsidRDefault="00614A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Italic">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A4C" w:rsidRDefault="00614A4C" w:rsidP="00CB4D0A">
      <w:pPr>
        <w:spacing w:after="0" w:line="240" w:lineRule="auto"/>
      </w:pPr>
      <w:r>
        <w:separator/>
      </w:r>
    </w:p>
  </w:footnote>
  <w:footnote w:type="continuationSeparator" w:id="0">
    <w:p w:rsidR="00614A4C" w:rsidRDefault="00614A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7C3D"/>
    <w:multiLevelType w:val="hybridMultilevel"/>
    <w:tmpl w:val="89AC0B6A"/>
    <w:lvl w:ilvl="0" w:tplc="04090001">
      <w:start w:val="1"/>
      <w:numFmt w:val="bullet"/>
      <w:lvlText w:val=""/>
      <w:lvlJc w:val="left"/>
      <w:pPr>
        <w:tabs>
          <w:tab w:val="num" w:pos="780"/>
        </w:tabs>
        <w:ind w:left="780" w:hanging="360"/>
      </w:pPr>
      <w:rPr>
        <w:rFonts w:ascii="Symbol" w:hAnsi="Symbol" w:hint="default"/>
      </w:rPr>
    </w:lvl>
    <w:lvl w:ilvl="1" w:tplc="0409000F">
      <w:start w:val="1"/>
      <w:numFmt w:val="decimal"/>
      <w:lvlText w:val="%2."/>
      <w:lvlJc w:val="left"/>
      <w:pPr>
        <w:tabs>
          <w:tab w:val="num" w:pos="1500"/>
        </w:tabs>
        <w:ind w:left="1500" w:hanging="360"/>
      </w:pPr>
      <w:rPr>
        <w:rFont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2FF32E8A"/>
    <w:multiLevelType w:val="hybridMultilevel"/>
    <w:tmpl w:val="49C0C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4EC78E9"/>
    <w:multiLevelType w:val="hybridMultilevel"/>
    <w:tmpl w:val="BC8E3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F25D10"/>
    <w:multiLevelType w:val="hybridMultilevel"/>
    <w:tmpl w:val="0DD614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3054554"/>
    <w:multiLevelType w:val="hybridMultilevel"/>
    <w:tmpl w:val="B86EF3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BD56EE2"/>
    <w:multiLevelType w:val="hybridMultilevel"/>
    <w:tmpl w:val="836C6132"/>
    <w:lvl w:ilvl="0" w:tplc="04090013">
      <w:start w:val="1"/>
      <w:numFmt w:val="upperRoman"/>
      <w:lvlText w:val="%1."/>
      <w:lvlJc w:val="right"/>
      <w:pPr>
        <w:tabs>
          <w:tab w:val="num" w:pos="720"/>
        </w:tabs>
        <w:ind w:left="720" w:hanging="18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F040CD4"/>
    <w:multiLevelType w:val="hybridMultilevel"/>
    <w:tmpl w:val="F8B864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7"/>
  </w:num>
  <w:num w:numId="4">
    <w:abstractNumId w:val="0"/>
  </w:num>
  <w:num w:numId="5">
    <w:abstractNumId w:val="5"/>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1C4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4A4C"/>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02D6"/>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FA038-1FE0-4C8F-A61C-9B1C8A24A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2479</Words>
  <Characters>14134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1</cp:revision>
  <dcterms:created xsi:type="dcterms:W3CDTF">2015-01-26T12:24:00Z</dcterms:created>
  <dcterms:modified xsi:type="dcterms:W3CDTF">2015-05-27T13:01:00Z</dcterms:modified>
</cp:coreProperties>
</file>