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299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78C0">
            <w:pPr>
              <w:pStyle w:val="Default"/>
              <w:rPr>
                <w:rFonts w:asciiTheme="minorHAnsi" w:hAnsiTheme="minorHAnsi"/>
              </w:rPr>
            </w:pPr>
            <w:r>
              <w:rPr>
                <w:rFonts w:asciiTheme="minorHAnsi" w:hAnsiTheme="minorHAnsi"/>
              </w:rPr>
              <w:t>Martine Majdalani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878C0">
            <w:pPr>
              <w:pStyle w:val="Default"/>
              <w:rPr>
                <w:rFonts w:asciiTheme="minorHAnsi" w:hAnsiTheme="minorHAnsi"/>
              </w:rPr>
            </w:pPr>
            <w:r>
              <w:rPr>
                <w:rFonts w:asciiTheme="minorHAnsi" w:hAnsiTheme="minorHAnsi"/>
              </w:rPr>
              <w:t>2487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78C0">
            <w:pPr>
              <w:pStyle w:val="Default"/>
              <w:rPr>
                <w:rFonts w:asciiTheme="minorHAnsi" w:hAnsiTheme="minorHAnsi"/>
              </w:rPr>
            </w:pPr>
            <w: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7A11">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B6DDB" w:rsidRDefault="001B6DDB" w:rsidP="001B6DDB">
            <w:pPr>
              <w:jc w:val="right"/>
              <w:rPr>
                <w:rFonts w:ascii="Arial" w:hAnsi="Arial" w:cs="Arial"/>
                <w:sz w:val="24"/>
                <w:szCs w:val="24"/>
              </w:rPr>
            </w:pPr>
            <w:r>
              <w:rPr>
                <w:rFonts w:ascii="Arial" w:hAnsi="Arial" w:cs="Arial"/>
                <w:sz w:val="24"/>
                <w:szCs w:val="24"/>
              </w:rPr>
              <w:t>Martine Majdalani</w:t>
            </w:r>
          </w:p>
          <w:p w:rsidR="001B6DDB" w:rsidRDefault="001B6DDB" w:rsidP="001B6DDB">
            <w:pPr>
              <w:jc w:val="right"/>
              <w:rPr>
                <w:rFonts w:ascii="Arial" w:hAnsi="Arial" w:cs="Arial"/>
                <w:sz w:val="24"/>
                <w:szCs w:val="24"/>
              </w:rPr>
            </w:pPr>
            <w:r>
              <w:rPr>
                <w:rFonts w:ascii="Arial" w:hAnsi="Arial" w:cs="Arial"/>
                <w:sz w:val="24"/>
                <w:szCs w:val="24"/>
              </w:rPr>
              <w:tab/>
              <w:t>2487</w:t>
            </w:r>
          </w:p>
          <w:p w:rsidR="001B6DDB" w:rsidRDefault="001B6DDB" w:rsidP="001B6DDB">
            <w:pPr>
              <w:jc w:val="right"/>
              <w:rPr>
                <w:rFonts w:ascii="Arial" w:hAnsi="Arial" w:cs="Arial"/>
                <w:sz w:val="24"/>
                <w:szCs w:val="24"/>
              </w:rPr>
            </w:pPr>
            <w:r>
              <w:rPr>
                <w:rFonts w:ascii="Arial" w:hAnsi="Arial" w:cs="Arial"/>
                <w:sz w:val="24"/>
                <w:szCs w:val="24"/>
              </w:rPr>
              <w:t xml:space="preserve">Assignment no: </w:t>
            </w:r>
            <w:r w:rsidR="006F7A11">
              <w:rPr>
                <w:rFonts w:ascii="Arial" w:hAnsi="Arial" w:cs="Arial"/>
                <w:sz w:val="24"/>
                <w:szCs w:val="24"/>
              </w:rPr>
              <w:t>7</w:t>
            </w:r>
          </w:p>
          <w:p w:rsidR="001B6DDB" w:rsidRDefault="001B6DDB" w:rsidP="001B6DDB">
            <w:pPr>
              <w:jc w:val="right"/>
              <w:rPr>
                <w:rFonts w:ascii="Arial" w:hAnsi="Arial" w:cs="Arial"/>
                <w:sz w:val="24"/>
                <w:szCs w:val="24"/>
              </w:rPr>
            </w:pPr>
            <w:r>
              <w:rPr>
                <w:rFonts w:ascii="Arial" w:hAnsi="Arial" w:cs="Arial"/>
                <w:sz w:val="24"/>
                <w:szCs w:val="24"/>
              </w:rPr>
              <w:t xml:space="preserve">Page 1 </w:t>
            </w:r>
          </w:p>
          <w:p w:rsidR="001B6DDB" w:rsidRDefault="001B6DDB" w:rsidP="001B6DDB">
            <w:pPr>
              <w:pStyle w:val="ListParagraph"/>
              <w:numPr>
                <w:ilvl w:val="0"/>
                <w:numId w:val="2"/>
              </w:numPr>
              <w:spacing w:after="160" w:line="259" w:lineRule="auto"/>
              <w:rPr>
                <w:rFonts w:ascii="Arial" w:hAnsi="Arial" w:cs="Arial"/>
                <w:sz w:val="24"/>
                <w:szCs w:val="24"/>
              </w:rPr>
            </w:pPr>
            <w:r>
              <w:rPr>
                <w:rFonts w:ascii="Arial" w:hAnsi="Arial" w:cs="Arial"/>
                <w:sz w:val="24"/>
                <w:szCs w:val="24"/>
              </w:rPr>
              <w:t xml:space="preserve">  </w:t>
            </w:r>
          </w:p>
          <w:p w:rsidR="001B6DDB" w:rsidRDefault="001B6DDB" w:rsidP="001B6DDB">
            <w:pPr>
              <w:pStyle w:val="ListParagraph"/>
              <w:rPr>
                <w:rFonts w:ascii="Arial" w:hAnsi="Arial" w:cs="Arial"/>
                <w:sz w:val="24"/>
                <w:szCs w:val="24"/>
              </w:rPr>
            </w:pPr>
          </w:p>
          <w:p w:rsidR="000E6D0E" w:rsidRDefault="0065230A" w:rsidP="000E6D0E">
            <w:pPr>
              <w:pStyle w:val="ListParagraph"/>
              <w:numPr>
                <w:ilvl w:val="0"/>
                <w:numId w:val="3"/>
              </w:numPr>
              <w:spacing w:after="160" w:line="259" w:lineRule="auto"/>
              <w:rPr>
                <w:rFonts w:ascii="Arial" w:hAnsi="Arial" w:cs="Arial"/>
                <w:sz w:val="24"/>
                <w:szCs w:val="24"/>
              </w:rPr>
            </w:pPr>
            <w:r>
              <w:rPr>
                <w:rFonts w:ascii="Arial" w:hAnsi="Arial" w:cs="Arial"/>
                <w:sz w:val="24"/>
                <w:szCs w:val="24"/>
              </w:rPr>
              <w:t>The distribution in supply chain is the process of making the product obtainable to the end user. The channel of distributions are intermediaries that pass on the products or services to finally reach the customer. There are levels of distributers, either directly from manufacturer to buyer: ie online, either through distributor, or even via retailer.</w:t>
            </w:r>
          </w:p>
          <w:p w:rsidR="0065230A" w:rsidRDefault="0065230A" w:rsidP="000E6D0E">
            <w:pPr>
              <w:pStyle w:val="ListParagraph"/>
              <w:numPr>
                <w:ilvl w:val="0"/>
                <w:numId w:val="3"/>
              </w:numPr>
              <w:spacing w:after="160" w:line="259" w:lineRule="auto"/>
              <w:rPr>
                <w:rFonts w:ascii="Arial" w:hAnsi="Arial" w:cs="Arial"/>
                <w:sz w:val="24"/>
                <w:szCs w:val="24"/>
              </w:rPr>
            </w:pPr>
            <w:r>
              <w:rPr>
                <w:rFonts w:ascii="Arial" w:hAnsi="Arial" w:cs="Arial"/>
                <w:sz w:val="24"/>
                <w:szCs w:val="24"/>
              </w:rPr>
              <w:t xml:space="preserve">The channel participants are: manufacturers (the producer of the final goods and services), wholesalers (they buy bulks from manufacturers and sell to retailers and businesses), retailers (sell to final customer for personal use). </w:t>
            </w:r>
          </w:p>
          <w:p w:rsidR="0065230A" w:rsidRDefault="001D2CD2" w:rsidP="000E6D0E">
            <w:pPr>
              <w:pStyle w:val="ListParagraph"/>
              <w:numPr>
                <w:ilvl w:val="0"/>
                <w:numId w:val="3"/>
              </w:numPr>
              <w:spacing w:after="160" w:line="259" w:lineRule="auto"/>
              <w:rPr>
                <w:rFonts w:ascii="Arial" w:hAnsi="Arial" w:cs="Arial"/>
                <w:sz w:val="24"/>
                <w:szCs w:val="24"/>
              </w:rPr>
            </w:pPr>
            <w:r>
              <w:rPr>
                <w:rFonts w:ascii="Arial" w:hAnsi="Arial" w:cs="Arial"/>
                <w:sz w:val="24"/>
                <w:szCs w:val="24"/>
              </w:rPr>
              <w:t>Market coverage is essential in a distribution process because manufacturers wants to be as close as possible or they want to delivery and have the product accessible to all customers and it all depends on the distribution strategies (intensive, selective or exclusive distribution).</w:t>
            </w:r>
          </w:p>
          <w:p w:rsidR="001D2CD2" w:rsidRDefault="001D2CD2" w:rsidP="001D2CD2">
            <w:pPr>
              <w:pStyle w:val="ListParagraph"/>
              <w:numPr>
                <w:ilvl w:val="0"/>
                <w:numId w:val="3"/>
              </w:numPr>
              <w:spacing w:after="160" w:line="259" w:lineRule="auto"/>
              <w:rPr>
                <w:rFonts w:ascii="Arial" w:hAnsi="Arial" w:cs="Arial"/>
                <w:sz w:val="24"/>
                <w:szCs w:val="24"/>
              </w:rPr>
            </w:pPr>
            <w:r>
              <w:rPr>
                <w:rFonts w:ascii="Arial" w:hAnsi="Arial" w:cs="Arial"/>
                <w:sz w:val="24"/>
                <w:szCs w:val="24"/>
              </w:rPr>
              <w:t>Single transaction channel is believed to describe a onetime purchase (for long term investment) with very poor chance of reoccurrence, as for the conventional channels, purchase and sell products on the basis of need based on the best price at the right time.</w:t>
            </w:r>
          </w:p>
          <w:p w:rsidR="005C6E91" w:rsidRDefault="005C6E91" w:rsidP="005C6E91">
            <w:pPr>
              <w:pStyle w:val="ListParagraph"/>
              <w:spacing w:after="160" w:line="259" w:lineRule="auto"/>
              <w:ind w:left="1080"/>
              <w:rPr>
                <w:rFonts w:ascii="Arial" w:hAnsi="Arial" w:cs="Arial"/>
                <w:sz w:val="24"/>
                <w:szCs w:val="24"/>
              </w:rPr>
            </w:pPr>
          </w:p>
          <w:p w:rsidR="005C6E91" w:rsidRDefault="005C6E91" w:rsidP="005C6E91">
            <w:pPr>
              <w:pStyle w:val="ListParagraph"/>
              <w:spacing w:after="160" w:line="259" w:lineRule="auto"/>
              <w:ind w:left="1080"/>
              <w:rPr>
                <w:rFonts w:ascii="Arial" w:hAnsi="Arial" w:cs="Arial"/>
                <w:sz w:val="24"/>
                <w:szCs w:val="24"/>
              </w:rPr>
            </w:pPr>
          </w:p>
          <w:p w:rsidR="005C6E91" w:rsidRDefault="005C6E91" w:rsidP="005C6E91">
            <w:pPr>
              <w:pStyle w:val="ListParagraph"/>
              <w:spacing w:after="160" w:line="259" w:lineRule="auto"/>
              <w:ind w:left="1080"/>
              <w:rPr>
                <w:rFonts w:ascii="Arial" w:hAnsi="Arial" w:cs="Arial"/>
                <w:sz w:val="24"/>
                <w:szCs w:val="24"/>
              </w:rPr>
            </w:pPr>
          </w:p>
          <w:p w:rsidR="005C6E91" w:rsidRPr="00E6688D" w:rsidRDefault="005C6E91" w:rsidP="005C6E91">
            <w:pPr>
              <w:pStyle w:val="ListParagraph"/>
              <w:jc w:val="right"/>
              <w:rPr>
                <w:rFonts w:ascii="Arial" w:hAnsi="Arial" w:cs="Arial"/>
                <w:sz w:val="24"/>
                <w:szCs w:val="24"/>
              </w:rPr>
            </w:pPr>
            <w:r w:rsidRPr="00E6688D">
              <w:rPr>
                <w:rFonts w:ascii="Arial" w:hAnsi="Arial" w:cs="Arial"/>
                <w:sz w:val="24"/>
                <w:szCs w:val="24"/>
              </w:rPr>
              <w:t>Martine Majdalani</w:t>
            </w:r>
          </w:p>
          <w:p w:rsidR="005C6E91" w:rsidRPr="00E6688D" w:rsidRDefault="005C6E91" w:rsidP="005C6E91">
            <w:pPr>
              <w:pStyle w:val="ListParagraph"/>
              <w:jc w:val="right"/>
              <w:rPr>
                <w:rFonts w:ascii="Arial" w:hAnsi="Arial" w:cs="Arial"/>
                <w:sz w:val="24"/>
                <w:szCs w:val="24"/>
              </w:rPr>
            </w:pPr>
            <w:r w:rsidRPr="00E6688D">
              <w:rPr>
                <w:rFonts w:ascii="Arial" w:hAnsi="Arial" w:cs="Arial"/>
                <w:sz w:val="24"/>
                <w:szCs w:val="24"/>
              </w:rPr>
              <w:t>2487</w:t>
            </w:r>
          </w:p>
          <w:p w:rsidR="005C6E91" w:rsidRPr="00E6688D" w:rsidRDefault="005C6E91" w:rsidP="005C6E91">
            <w:pPr>
              <w:pStyle w:val="ListParagraph"/>
              <w:jc w:val="right"/>
              <w:rPr>
                <w:rFonts w:ascii="Arial" w:hAnsi="Arial" w:cs="Arial"/>
                <w:sz w:val="24"/>
                <w:szCs w:val="24"/>
              </w:rPr>
            </w:pPr>
            <w:r w:rsidRPr="00E6688D">
              <w:rPr>
                <w:rFonts w:ascii="Arial" w:hAnsi="Arial" w:cs="Arial"/>
                <w:sz w:val="24"/>
                <w:szCs w:val="24"/>
              </w:rPr>
              <w:t xml:space="preserve">Assignment no: </w:t>
            </w:r>
            <w:r>
              <w:rPr>
                <w:rFonts w:ascii="Arial" w:hAnsi="Arial" w:cs="Arial"/>
                <w:sz w:val="24"/>
                <w:szCs w:val="24"/>
              </w:rPr>
              <w:t>7</w:t>
            </w:r>
          </w:p>
          <w:p w:rsidR="005C6E91" w:rsidRPr="005C6E91" w:rsidRDefault="005C6E91" w:rsidP="005C6E91">
            <w:pPr>
              <w:jc w:val="right"/>
              <w:rPr>
                <w:rFonts w:ascii="Arial" w:hAnsi="Arial" w:cs="Arial"/>
                <w:sz w:val="24"/>
                <w:szCs w:val="24"/>
              </w:rPr>
            </w:pPr>
            <w:r w:rsidRPr="00A1494E">
              <w:rPr>
                <w:rFonts w:ascii="Arial" w:hAnsi="Arial" w:cs="Arial"/>
                <w:sz w:val="24"/>
                <w:szCs w:val="24"/>
              </w:rPr>
              <w:t>Page 2</w:t>
            </w:r>
          </w:p>
          <w:p w:rsidR="005C6E91" w:rsidRDefault="005C6E91" w:rsidP="005C6E91">
            <w:pPr>
              <w:pStyle w:val="ListParagraph"/>
              <w:spacing w:after="160" w:line="259" w:lineRule="auto"/>
              <w:ind w:left="1080"/>
              <w:rPr>
                <w:rFonts w:ascii="Arial" w:hAnsi="Arial" w:cs="Arial"/>
                <w:sz w:val="24"/>
                <w:szCs w:val="24"/>
              </w:rPr>
            </w:pPr>
          </w:p>
          <w:p w:rsidR="005C6E91" w:rsidRPr="0030685F" w:rsidRDefault="005C6E91" w:rsidP="005C6E91">
            <w:pPr>
              <w:pStyle w:val="ListParagraph"/>
              <w:numPr>
                <w:ilvl w:val="0"/>
                <w:numId w:val="3"/>
              </w:numPr>
              <w:spacing w:after="160" w:line="259" w:lineRule="auto"/>
              <w:rPr>
                <w:rFonts w:ascii="Arial" w:hAnsi="Arial" w:cs="Arial"/>
                <w:sz w:val="24"/>
                <w:szCs w:val="24"/>
              </w:rPr>
            </w:pPr>
            <w:r>
              <w:rPr>
                <w:rFonts w:ascii="Arial" w:hAnsi="Arial" w:cs="Arial"/>
                <w:sz w:val="24"/>
                <w:szCs w:val="24"/>
              </w:rPr>
              <w:t>The terms and conditions of pricing decide which party has accountability for the logistics activities, and the pricing practices have a straight impact on the timing and steadiness of logistical operations.</w:t>
            </w:r>
          </w:p>
          <w:p w:rsidR="00CC2FB3" w:rsidRDefault="005C6E91" w:rsidP="005C6E91">
            <w:pPr>
              <w:spacing w:after="160" w:line="259" w:lineRule="auto"/>
              <w:rPr>
                <w:rFonts w:ascii="Arial" w:hAnsi="Arial" w:cs="Arial"/>
                <w:sz w:val="24"/>
                <w:szCs w:val="24"/>
              </w:rPr>
            </w:pPr>
            <w:r>
              <w:rPr>
                <w:rFonts w:ascii="Arial" w:hAnsi="Arial" w:cs="Arial"/>
                <w:sz w:val="24"/>
                <w:szCs w:val="24"/>
              </w:rPr>
              <w:t xml:space="preserve">   </w:t>
            </w:r>
            <w:r w:rsidR="0030685F">
              <w:rPr>
                <w:rFonts w:ascii="Arial" w:hAnsi="Arial" w:cs="Arial"/>
                <w:sz w:val="24"/>
                <w:szCs w:val="24"/>
              </w:rPr>
              <w:t xml:space="preserve">   </w:t>
            </w:r>
            <w:r>
              <w:rPr>
                <w:rFonts w:ascii="Arial" w:hAnsi="Arial" w:cs="Arial"/>
                <w:sz w:val="24"/>
                <w:szCs w:val="24"/>
              </w:rPr>
              <w:t xml:space="preserve"> 2.</w:t>
            </w:r>
            <w:r w:rsidR="00CA706C" w:rsidRPr="005C6E91">
              <w:rPr>
                <w:rFonts w:ascii="Arial" w:hAnsi="Arial" w:cs="Arial"/>
                <w:sz w:val="24"/>
                <w:szCs w:val="24"/>
              </w:rPr>
              <w:t xml:space="preserve"> </w:t>
            </w:r>
          </w:p>
          <w:p w:rsidR="005C6E91" w:rsidRDefault="00E10660" w:rsidP="005C6E91">
            <w:pPr>
              <w:spacing w:after="160" w:line="259" w:lineRule="auto"/>
              <w:rPr>
                <w:rFonts w:ascii="Arial" w:hAnsi="Arial" w:cs="Arial"/>
                <w:sz w:val="24"/>
                <w:szCs w:val="24"/>
              </w:rPr>
            </w:pPr>
            <w:r>
              <w:rPr>
                <w:rFonts w:ascii="Arial" w:hAnsi="Arial" w:cs="Arial"/>
                <w:sz w:val="24"/>
                <w:szCs w:val="24"/>
              </w:rPr>
              <w:t>Pricing decision dictate which party is accountable and liable for the goods and service and defines the owner of the goods and services.</w:t>
            </w:r>
          </w:p>
          <w:p w:rsidR="00E10660" w:rsidRDefault="00E10660" w:rsidP="00E10660">
            <w:pPr>
              <w:pStyle w:val="ListParagraph"/>
              <w:numPr>
                <w:ilvl w:val="0"/>
                <w:numId w:val="8"/>
              </w:numPr>
              <w:spacing w:after="160" w:line="259" w:lineRule="auto"/>
              <w:rPr>
                <w:rFonts w:ascii="Arial" w:hAnsi="Arial" w:cs="Arial"/>
                <w:sz w:val="24"/>
                <w:szCs w:val="24"/>
              </w:rPr>
            </w:pPr>
            <w:r>
              <w:rPr>
                <w:rFonts w:ascii="Arial" w:hAnsi="Arial" w:cs="Arial"/>
                <w:sz w:val="24"/>
                <w:szCs w:val="24"/>
              </w:rPr>
              <w:t>FOB pricing (free on board), shipper must include in the price the delivery and loading up to the port and won’t claim any responsibility afterwards. The buyer here will select the mode of transportation and pays the transporter up to delivery at final destination and is responsible for any loss or damage on board (but usually there’s insurance which is made by the buyer). There’s also FOB origin and FOB destination which will define where the seller’s responsibility ends, if FOB destination (seller will include the transport cost in the invoice to customer).</w:t>
            </w:r>
          </w:p>
          <w:p w:rsidR="00E10660" w:rsidRDefault="00E10660" w:rsidP="00E10660">
            <w:pPr>
              <w:pStyle w:val="ListParagraph"/>
              <w:numPr>
                <w:ilvl w:val="0"/>
                <w:numId w:val="8"/>
              </w:numPr>
              <w:spacing w:after="160" w:line="259" w:lineRule="auto"/>
              <w:rPr>
                <w:rFonts w:ascii="Arial" w:hAnsi="Arial" w:cs="Arial"/>
                <w:sz w:val="24"/>
                <w:szCs w:val="24"/>
              </w:rPr>
            </w:pPr>
            <w:r>
              <w:rPr>
                <w:rFonts w:ascii="Arial" w:hAnsi="Arial" w:cs="Arial"/>
                <w:sz w:val="24"/>
                <w:szCs w:val="24"/>
              </w:rPr>
              <w:t>Delivered pricing: the seller include all the costs up to buyer’s door in his cost price.</w:t>
            </w:r>
          </w:p>
          <w:p w:rsidR="00E10660" w:rsidRDefault="00E10660" w:rsidP="00E10660">
            <w:pPr>
              <w:pStyle w:val="ListParagraph"/>
              <w:numPr>
                <w:ilvl w:val="0"/>
                <w:numId w:val="8"/>
              </w:numPr>
              <w:spacing w:after="160" w:line="259" w:lineRule="auto"/>
              <w:rPr>
                <w:rFonts w:ascii="Arial" w:hAnsi="Arial" w:cs="Arial"/>
                <w:sz w:val="24"/>
                <w:szCs w:val="24"/>
              </w:rPr>
            </w:pPr>
            <w:r>
              <w:rPr>
                <w:rFonts w:ascii="Arial" w:hAnsi="Arial" w:cs="Arial"/>
                <w:sz w:val="24"/>
                <w:szCs w:val="24"/>
              </w:rPr>
              <w:t xml:space="preserve">Single zone pricing: there’s a pricing scheme based on one zone regardless where the buyer is located. This gives more control for the supplier over the logistics </w:t>
            </w:r>
          </w:p>
          <w:p w:rsidR="00E10660" w:rsidRDefault="00E10660" w:rsidP="00E10660">
            <w:pPr>
              <w:pStyle w:val="ListParagraph"/>
              <w:numPr>
                <w:ilvl w:val="0"/>
                <w:numId w:val="8"/>
              </w:numPr>
              <w:spacing w:after="160" w:line="259" w:lineRule="auto"/>
              <w:rPr>
                <w:rFonts w:ascii="Arial" w:hAnsi="Arial" w:cs="Arial"/>
                <w:sz w:val="24"/>
                <w:szCs w:val="24"/>
              </w:rPr>
            </w:pPr>
            <w:r>
              <w:rPr>
                <w:rFonts w:ascii="Arial" w:hAnsi="Arial" w:cs="Arial"/>
                <w:sz w:val="24"/>
                <w:szCs w:val="24"/>
              </w:rPr>
              <w:t xml:space="preserve">Multiple Zone </w:t>
            </w:r>
            <w:r w:rsidR="0030685F">
              <w:rPr>
                <w:rFonts w:ascii="Arial" w:hAnsi="Arial" w:cs="Arial"/>
                <w:sz w:val="24"/>
                <w:szCs w:val="24"/>
              </w:rPr>
              <w:t>Pricing:</w:t>
            </w:r>
            <w:r>
              <w:rPr>
                <w:rFonts w:ascii="Arial" w:hAnsi="Arial" w:cs="Arial"/>
                <w:sz w:val="24"/>
                <w:szCs w:val="24"/>
              </w:rPr>
              <w:t xml:space="preserve"> means different prices based on different geographical areas.</w:t>
            </w:r>
          </w:p>
          <w:p w:rsidR="0030685F" w:rsidRPr="0030685F" w:rsidRDefault="0030685F" w:rsidP="0030685F">
            <w:pPr>
              <w:pStyle w:val="ListParagraph"/>
              <w:numPr>
                <w:ilvl w:val="0"/>
                <w:numId w:val="8"/>
              </w:numPr>
              <w:spacing w:after="160" w:line="259" w:lineRule="auto"/>
              <w:rPr>
                <w:rFonts w:ascii="Arial" w:hAnsi="Arial" w:cs="Arial"/>
                <w:sz w:val="24"/>
                <w:szCs w:val="24"/>
              </w:rPr>
            </w:pPr>
            <w:r>
              <w:rPr>
                <w:rFonts w:ascii="Arial" w:hAnsi="Arial" w:cs="Arial"/>
                <w:sz w:val="24"/>
                <w:szCs w:val="24"/>
              </w:rPr>
              <w:t>Base point pricing: the delivery price is decided based on the product’s price + transport cost from the manufacturing location (or any base point) even if the product is not originated from the base point.</w:t>
            </w:r>
          </w:p>
          <w:p w:rsidR="0030685F" w:rsidRDefault="0030685F" w:rsidP="0030685F">
            <w:pPr>
              <w:spacing w:after="160" w:line="259" w:lineRule="auto"/>
              <w:rPr>
                <w:rFonts w:ascii="Arial" w:hAnsi="Arial" w:cs="Arial"/>
                <w:sz w:val="24"/>
                <w:szCs w:val="24"/>
              </w:rPr>
            </w:pPr>
            <w:r>
              <w:rPr>
                <w:rFonts w:ascii="Arial" w:hAnsi="Arial" w:cs="Arial"/>
                <w:sz w:val="24"/>
                <w:szCs w:val="24"/>
              </w:rPr>
              <w:t xml:space="preserve">       3.</w:t>
            </w:r>
          </w:p>
          <w:p w:rsidR="00465734" w:rsidRDefault="00141CCF" w:rsidP="00141CCF">
            <w:pPr>
              <w:spacing w:after="160" w:line="259" w:lineRule="auto"/>
              <w:rPr>
                <w:rFonts w:ascii="Arial" w:hAnsi="Arial" w:cs="Arial"/>
                <w:sz w:val="24"/>
                <w:szCs w:val="24"/>
              </w:rPr>
            </w:pPr>
            <w:r>
              <w:rPr>
                <w:rFonts w:ascii="Arial" w:hAnsi="Arial" w:cs="Arial"/>
                <w:sz w:val="24"/>
                <w:szCs w:val="24"/>
              </w:rPr>
              <w:t>Channel mapping and matrix approach are 2 important tools the help a channel design development. Channel mapping gives insights into existing processes or if process is new, it gives insights about the market situation and competitors, mainly it gives a general overview of the set up and defines the market segments it reaches out to. Matrix approach goes into details of every segment that was mapped</w:t>
            </w:r>
            <w:r w:rsidR="00465734">
              <w:rPr>
                <w:rFonts w:ascii="Arial" w:hAnsi="Arial" w:cs="Arial"/>
                <w:sz w:val="24"/>
                <w:szCs w:val="24"/>
              </w:rPr>
              <w:t>, it provides insights into each structure to accomplish objectives.</w:t>
            </w:r>
          </w:p>
          <w:p w:rsidR="0030685F" w:rsidRPr="0030685F" w:rsidRDefault="00465734" w:rsidP="00141CCF">
            <w:pPr>
              <w:spacing w:after="160" w:line="259" w:lineRule="auto"/>
              <w:rPr>
                <w:rFonts w:ascii="Arial" w:hAnsi="Arial" w:cs="Arial"/>
                <w:sz w:val="24"/>
                <w:szCs w:val="24"/>
              </w:rPr>
            </w:pPr>
            <w:r>
              <w:rPr>
                <w:rFonts w:ascii="Arial" w:hAnsi="Arial" w:cs="Arial"/>
                <w:sz w:val="24"/>
                <w:szCs w:val="24"/>
              </w:rPr>
              <w:t>Channel design process is made to decrease the diversity and complexity of the marketing channel.</w:t>
            </w:r>
            <w:r w:rsidR="00141CCF">
              <w:rPr>
                <w:rFonts w:ascii="Arial" w:hAnsi="Arial" w:cs="Arial"/>
                <w:sz w:val="24"/>
                <w:szCs w:val="24"/>
              </w:rPr>
              <w:t xml:space="preserve"> </w:t>
            </w:r>
            <w:r>
              <w:rPr>
                <w:rFonts w:ascii="Arial" w:hAnsi="Arial" w:cs="Arial"/>
                <w:sz w:val="24"/>
                <w:szCs w:val="24"/>
              </w:rPr>
              <w:t xml:space="preserve">It defines the quantity supplied, the </w:t>
            </w:r>
            <w:r w:rsidR="00D2052A">
              <w:rPr>
                <w:rFonts w:ascii="Arial" w:hAnsi="Arial" w:cs="Arial"/>
                <w:sz w:val="24"/>
                <w:szCs w:val="24"/>
              </w:rPr>
              <w:t>price,</w:t>
            </w:r>
            <w:r>
              <w:rPr>
                <w:rFonts w:ascii="Arial" w:hAnsi="Arial" w:cs="Arial"/>
                <w:sz w:val="24"/>
                <w:szCs w:val="24"/>
              </w:rPr>
              <w:t xml:space="preserve"> the locations and the channel participants and make sure logistics is efficient. </w:t>
            </w:r>
          </w:p>
        </w:tc>
      </w:tr>
      <w:tr w:rsidR="001E5D2D" w:rsidTr="00CC2FB3">
        <w:tc>
          <w:tcPr>
            <w:tcW w:w="9242" w:type="dxa"/>
          </w:tcPr>
          <w:p w:rsidR="001E5D2D" w:rsidRDefault="001E5D2D" w:rsidP="001B6DDB">
            <w:pPr>
              <w:jc w:val="right"/>
              <w:rPr>
                <w:rFonts w:ascii="Arial" w:hAnsi="Arial" w:cs="Arial"/>
                <w:sz w:val="24"/>
                <w:szCs w:val="24"/>
              </w:rPr>
            </w:pPr>
          </w:p>
        </w:tc>
        <w:bookmarkStart w:id="0" w:name="_GoBack"/>
        <w:bookmarkEnd w:id="0"/>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878C0" w:rsidP="00A851DA">
            <w:pPr>
              <w:rPr>
                <w:rFonts w:cs="Bliss-Regular"/>
                <w:color w:val="000000"/>
              </w:rPr>
            </w:pPr>
            <w:r>
              <w:rPr>
                <w:rFonts w:cs="Bliss-Regular"/>
                <w:color w:val="000000"/>
              </w:rPr>
              <w:t>Martine Majdalani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10660" w:rsidP="00CB0962">
            <w:pPr>
              <w:rPr>
                <w:rFonts w:cs="Bliss-Regular"/>
                <w:color w:val="000000"/>
              </w:rPr>
            </w:pPr>
            <w:r>
              <w:rPr>
                <w:rFonts w:cs="Bliss-Regular"/>
                <w:color w:val="000000"/>
              </w:rPr>
              <w:t>12</w:t>
            </w:r>
            <w:r w:rsidR="00CB0962">
              <w:rPr>
                <w:rFonts w:cs="Bliss-Regular"/>
                <w:color w:val="000000"/>
              </w:rPr>
              <w:t>/10</w:t>
            </w:r>
            <w:r w:rsidR="002878C0">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1E41" w:rsidRDefault="00181E41" w:rsidP="00CB4D0A">
      <w:pPr>
        <w:spacing w:after="0" w:line="240" w:lineRule="auto"/>
      </w:pPr>
      <w:r>
        <w:separator/>
      </w:r>
    </w:p>
  </w:endnote>
  <w:endnote w:type="continuationSeparator" w:id="0">
    <w:p w:rsidR="00181E41" w:rsidRDefault="00181E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1E41" w:rsidRDefault="00181E41" w:rsidP="00CB4D0A">
      <w:pPr>
        <w:spacing w:after="0" w:line="240" w:lineRule="auto"/>
      </w:pPr>
      <w:r>
        <w:separator/>
      </w:r>
    </w:p>
  </w:footnote>
  <w:footnote w:type="continuationSeparator" w:id="0">
    <w:p w:rsidR="00181E41" w:rsidRDefault="00181E4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D7589"/>
    <w:multiLevelType w:val="hybridMultilevel"/>
    <w:tmpl w:val="B55E6032"/>
    <w:lvl w:ilvl="0" w:tplc="50C6431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303987"/>
    <w:multiLevelType w:val="hybridMultilevel"/>
    <w:tmpl w:val="20A490EA"/>
    <w:lvl w:ilvl="0" w:tplc="DD1AD1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4766A6"/>
    <w:multiLevelType w:val="hybridMultilevel"/>
    <w:tmpl w:val="48CAD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9128E2"/>
    <w:multiLevelType w:val="hybridMultilevel"/>
    <w:tmpl w:val="47C6CCC4"/>
    <w:lvl w:ilvl="0" w:tplc="AF780ED4">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42D2957"/>
    <w:multiLevelType w:val="hybridMultilevel"/>
    <w:tmpl w:val="94782CB8"/>
    <w:lvl w:ilvl="0" w:tplc="60A2B628">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DFD1634"/>
    <w:multiLevelType w:val="hybridMultilevel"/>
    <w:tmpl w:val="72E424F0"/>
    <w:lvl w:ilvl="0" w:tplc="228EEE74">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F34540"/>
    <w:multiLevelType w:val="hybridMultilevel"/>
    <w:tmpl w:val="1F00BD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3"/>
  </w:num>
  <w:num w:numId="5">
    <w:abstractNumId w:val="7"/>
  </w:num>
  <w:num w:numId="6">
    <w:abstractNumId w:val="5"/>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D7F"/>
    <w:rsid w:val="000158F9"/>
    <w:rsid w:val="0003255B"/>
    <w:rsid w:val="00035CDD"/>
    <w:rsid w:val="00040083"/>
    <w:rsid w:val="00055992"/>
    <w:rsid w:val="000820E8"/>
    <w:rsid w:val="000E6D0E"/>
    <w:rsid w:val="0010083B"/>
    <w:rsid w:val="001175EE"/>
    <w:rsid w:val="001212CF"/>
    <w:rsid w:val="00126064"/>
    <w:rsid w:val="00141CCF"/>
    <w:rsid w:val="00145EAB"/>
    <w:rsid w:val="00157CF6"/>
    <w:rsid w:val="001814C1"/>
    <w:rsid w:val="00181E41"/>
    <w:rsid w:val="00182416"/>
    <w:rsid w:val="00187EB4"/>
    <w:rsid w:val="001B6DDB"/>
    <w:rsid w:val="001B7249"/>
    <w:rsid w:val="001D2CD2"/>
    <w:rsid w:val="001D5F23"/>
    <w:rsid w:val="001E5D2D"/>
    <w:rsid w:val="001E6A00"/>
    <w:rsid w:val="001F0481"/>
    <w:rsid w:val="001F2F99"/>
    <w:rsid w:val="00200C92"/>
    <w:rsid w:val="0020451E"/>
    <w:rsid w:val="00206B9D"/>
    <w:rsid w:val="0023259C"/>
    <w:rsid w:val="002473C5"/>
    <w:rsid w:val="00266061"/>
    <w:rsid w:val="00277822"/>
    <w:rsid w:val="002878C0"/>
    <w:rsid w:val="002B0BD7"/>
    <w:rsid w:val="002B573D"/>
    <w:rsid w:val="002B79D6"/>
    <w:rsid w:val="002C5CB2"/>
    <w:rsid w:val="002F1623"/>
    <w:rsid w:val="002F75EA"/>
    <w:rsid w:val="002F779F"/>
    <w:rsid w:val="0030685F"/>
    <w:rsid w:val="00326FDB"/>
    <w:rsid w:val="00347F93"/>
    <w:rsid w:val="003561D6"/>
    <w:rsid w:val="00363CB6"/>
    <w:rsid w:val="00364DA4"/>
    <w:rsid w:val="00371885"/>
    <w:rsid w:val="00384B41"/>
    <w:rsid w:val="003E2B87"/>
    <w:rsid w:val="00402786"/>
    <w:rsid w:val="00405895"/>
    <w:rsid w:val="004058DF"/>
    <w:rsid w:val="00443E6F"/>
    <w:rsid w:val="004548D3"/>
    <w:rsid w:val="00465734"/>
    <w:rsid w:val="00471855"/>
    <w:rsid w:val="00486F1A"/>
    <w:rsid w:val="00490340"/>
    <w:rsid w:val="00490CB9"/>
    <w:rsid w:val="004A2CE2"/>
    <w:rsid w:val="004E3CDA"/>
    <w:rsid w:val="004F20AD"/>
    <w:rsid w:val="004F4B4D"/>
    <w:rsid w:val="0050216D"/>
    <w:rsid w:val="00503D7E"/>
    <w:rsid w:val="0050778F"/>
    <w:rsid w:val="00527C11"/>
    <w:rsid w:val="00535F31"/>
    <w:rsid w:val="005653EA"/>
    <w:rsid w:val="00567E7C"/>
    <w:rsid w:val="00574D64"/>
    <w:rsid w:val="00591365"/>
    <w:rsid w:val="0059384B"/>
    <w:rsid w:val="005A0A59"/>
    <w:rsid w:val="005B31E4"/>
    <w:rsid w:val="005C6E91"/>
    <w:rsid w:val="006034F6"/>
    <w:rsid w:val="00607874"/>
    <w:rsid w:val="00607E77"/>
    <w:rsid w:val="00613DCF"/>
    <w:rsid w:val="00617BB3"/>
    <w:rsid w:val="00636843"/>
    <w:rsid w:val="00637217"/>
    <w:rsid w:val="00645CDD"/>
    <w:rsid w:val="00650E31"/>
    <w:rsid w:val="00651CCE"/>
    <w:rsid w:val="0065230A"/>
    <w:rsid w:val="0067151B"/>
    <w:rsid w:val="00677700"/>
    <w:rsid w:val="006823A7"/>
    <w:rsid w:val="00687EE8"/>
    <w:rsid w:val="00690E12"/>
    <w:rsid w:val="006A57BB"/>
    <w:rsid w:val="006B18E7"/>
    <w:rsid w:val="006F7A11"/>
    <w:rsid w:val="0070347F"/>
    <w:rsid w:val="0070678E"/>
    <w:rsid w:val="00724B01"/>
    <w:rsid w:val="00746223"/>
    <w:rsid w:val="00770F10"/>
    <w:rsid w:val="0080400F"/>
    <w:rsid w:val="0081598D"/>
    <w:rsid w:val="00831C11"/>
    <w:rsid w:val="00837DBF"/>
    <w:rsid w:val="008A60B4"/>
    <w:rsid w:val="008B3C31"/>
    <w:rsid w:val="008B64FE"/>
    <w:rsid w:val="008D5D34"/>
    <w:rsid w:val="00907C46"/>
    <w:rsid w:val="00921C7A"/>
    <w:rsid w:val="00926EF5"/>
    <w:rsid w:val="00935BF7"/>
    <w:rsid w:val="0095442C"/>
    <w:rsid w:val="00983942"/>
    <w:rsid w:val="0098678C"/>
    <w:rsid w:val="009C37E0"/>
    <w:rsid w:val="009D2991"/>
    <w:rsid w:val="009D435A"/>
    <w:rsid w:val="009E2F57"/>
    <w:rsid w:val="009E41F4"/>
    <w:rsid w:val="00A14867"/>
    <w:rsid w:val="00A1494E"/>
    <w:rsid w:val="00A14B66"/>
    <w:rsid w:val="00A65CF7"/>
    <w:rsid w:val="00A664CE"/>
    <w:rsid w:val="00A74C73"/>
    <w:rsid w:val="00A81AB4"/>
    <w:rsid w:val="00A82F13"/>
    <w:rsid w:val="00A851DA"/>
    <w:rsid w:val="00AC7D5B"/>
    <w:rsid w:val="00AE0AEF"/>
    <w:rsid w:val="00AE1481"/>
    <w:rsid w:val="00AE1ED5"/>
    <w:rsid w:val="00AE232C"/>
    <w:rsid w:val="00B00208"/>
    <w:rsid w:val="00B0415E"/>
    <w:rsid w:val="00B04678"/>
    <w:rsid w:val="00B10387"/>
    <w:rsid w:val="00B1664D"/>
    <w:rsid w:val="00B26F46"/>
    <w:rsid w:val="00BC46DF"/>
    <w:rsid w:val="00BD563C"/>
    <w:rsid w:val="00C03577"/>
    <w:rsid w:val="00C071CA"/>
    <w:rsid w:val="00C452BC"/>
    <w:rsid w:val="00C53029"/>
    <w:rsid w:val="00C60FEF"/>
    <w:rsid w:val="00C61FCC"/>
    <w:rsid w:val="00C62F55"/>
    <w:rsid w:val="00C64365"/>
    <w:rsid w:val="00C65FEA"/>
    <w:rsid w:val="00C92AF0"/>
    <w:rsid w:val="00CA0AC2"/>
    <w:rsid w:val="00CA706C"/>
    <w:rsid w:val="00CB0962"/>
    <w:rsid w:val="00CB4D0A"/>
    <w:rsid w:val="00CC2FB3"/>
    <w:rsid w:val="00CC575A"/>
    <w:rsid w:val="00CF123B"/>
    <w:rsid w:val="00D039AC"/>
    <w:rsid w:val="00D2052A"/>
    <w:rsid w:val="00D427DE"/>
    <w:rsid w:val="00D5587D"/>
    <w:rsid w:val="00D660BE"/>
    <w:rsid w:val="00D707CC"/>
    <w:rsid w:val="00D709E8"/>
    <w:rsid w:val="00D821FE"/>
    <w:rsid w:val="00DB0793"/>
    <w:rsid w:val="00DC044A"/>
    <w:rsid w:val="00DD4C9A"/>
    <w:rsid w:val="00E00821"/>
    <w:rsid w:val="00E04DB4"/>
    <w:rsid w:val="00E10660"/>
    <w:rsid w:val="00E30679"/>
    <w:rsid w:val="00E4597D"/>
    <w:rsid w:val="00E54310"/>
    <w:rsid w:val="00E54832"/>
    <w:rsid w:val="00E56A90"/>
    <w:rsid w:val="00E6379D"/>
    <w:rsid w:val="00E639C5"/>
    <w:rsid w:val="00E641CC"/>
    <w:rsid w:val="00E6688D"/>
    <w:rsid w:val="00E8498D"/>
    <w:rsid w:val="00EA30AB"/>
    <w:rsid w:val="00EB3925"/>
    <w:rsid w:val="00EC72E0"/>
    <w:rsid w:val="00EF0A6F"/>
    <w:rsid w:val="00F15C05"/>
    <w:rsid w:val="00F52291"/>
    <w:rsid w:val="00F53CF8"/>
    <w:rsid w:val="00F55E85"/>
    <w:rsid w:val="00F96EB3"/>
    <w:rsid w:val="00FC60BF"/>
    <w:rsid w:val="00FD5A6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D4044B-8E62-40E0-BC41-04BF66089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B79D6"/>
    <w:rPr>
      <w:sz w:val="16"/>
      <w:szCs w:val="16"/>
    </w:rPr>
  </w:style>
  <w:style w:type="paragraph" w:styleId="CommentText">
    <w:name w:val="annotation text"/>
    <w:basedOn w:val="Normal"/>
    <w:link w:val="CommentTextChar"/>
    <w:uiPriority w:val="99"/>
    <w:semiHidden/>
    <w:unhideWhenUsed/>
    <w:rsid w:val="002B79D6"/>
    <w:pPr>
      <w:spacing w:line="240" w:lineRule="auto"/>
    </w:pPr>
    <w:rPr>
      <w:sz w:val="20"/>
      <w:szCs w:val="20"/>
    </w:rPr>
  </w:style>
  <w:style w:type="character" w:customStyle="1" w:styleId="CommentTextChar">
    <w:name w:val="Comment Text Char"/>
    <w:basedOn w:val="DefaultParagraphFont"/>
    <w:link w:val="CommentText"/>
    <w:uiPriority w:val="99"/>
    <w:semiHidden/>
    <w:rsid w:val="002B79D6"/>
    <w:rPr>
      <w:sz w:val="20"/>
      <w:szCs w:val="20"/>
    </w:rPr>
  </w:style>
  <w:style w:type="paragraph" w:styleId="CommentSubject">
    <w:name w:val="annotation subject"/>
    <w:basedOn w:val="CommentText"/>
    <w:next w:val="CommentText"/>
    <w:link w:val="CommentSubjectChar"/>
    <w:uiPriority w:val="99"/>
    <w:semiHidden/>
    <w:unhideWhenUsed/>
    <w:rsid w:val="002B79D6"/>
    <w:rPr>
      <w:b/>
      <w:bCs/>
    </w:rPr>
  </w:style>
  <w:style w:type="character" w:customStyle="1" w:styleId="CommentSubjectChar">
    <w:name w:val="Comment Subject Char"/>
    <w:basedOn w:val="CommentTextChar"/>
    <w:link w:val="CommentSubject"/>
    <w:uiPriority w:val="99"/>
    <w:semiHidden/>
    <w:rsid w:val="002B79D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81B30-FE7A-4ED5-9C6A-3E901D8AA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941</TotalTime>
  <Pages>1</Pages>
  <Words>621</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Majdalani, Martine</cp:lastModifiedBy>
  <cp:revision>58</cp:revision>
  <cp:lastPrinted>2016-09-14T09:08:00Z</cp:lastPrinted>
  <dcterms:created xsi:type="dcterms:W3CDTF">2016-09-06T10:06:00Z</dcterms:created>
  <dcterms:modified xsi:type="dcterms:W3CDTF">2016-10-12T12:51:00Z</dcterms:modified>
</cp:coreProperties>
</file>