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ustom.xml" ContentType="application/vnd.openxmlformats-officedocument.custom-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4100"/>
        <w:rPr>
          <w:rFonts w:ascii="Calibri" w:hAnsi="Calibri"/>
        </w:rPr>
      </w:pPr>
      <w:r>
        <w:rPr>
          <w:rFonts w:ascii="Calibri" w:hAnsi="Calibri"/>
          <w:noProof/>
          <w:lang w:val="en-GB" w:eastAsia="en-GB"/>
        </w:rPr>
        <w:drawing>
          <wp:anchor distT="0" distB="0" distL="0" distR="0" simplePos="false" relativeHeight="2" behindDoc="false" locked="false" layoutInCell="true" allowOverlap="true">
            <wp:simplePos x="0" y="0"/>
            <wp:positionH relativeFrom="column">
              <wp:posOffset>-342900</wp:posOffset>
            </wp:positionH>
            <wp:positionV relativeFrom="paragraph">
              <wp:posOffset>-295275</wp:posOffset>
            </wp:positionV>
            <wp:extent cx="2809875" cy="1419225"/>
            <wp:effectExtent l="0" t="0" r="0" b="0"/>
            <wp:wrapNone/>
            <wp:docPr id="1026" name="Image1" descr="BOLC_Logo"/>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rotWithShape="true">
                    <a:blip r:embed="rId2" cstate="print">
                      <a:extLst>
                        <a:ext uri="{28A0092B-C50C-407E-A947-70E740481C1C}">
                          <a14:useLocalDpi xmlns:a14="http://schemas.microsoft.com/office/drawing/2010/main" val="0"/>
                        </a:ext>
                      </a:extLst>
                    </a:blip>
                    <a:srcRect l="20320" t="20000" r="23669" b="32001"/>
                    <a:stretch>
                      <a:fillRect/>
                    </a:stretch>
                  </pic:blipFill>
                  <pic:spPr>
                    <a:xfrm>
                      <a:off x="0" y="0"/>
                      <a:ext cx="2809875" cy="1419225"/>
                    </a:xfrm>
                    <a:prstGeom prst="rect">
                      <a:avLst/>
                    </a:prstGeom>
                  </pic:spPr>
                </pic:pic>
              </a:graphicData>
            </a:graphic>
          </wp:anchor>
        </w:drawing>
      </w:r>
      <w:r>
        <w:rPr>
          <w:rFonts w:ascii="Calibri" w:hAnsi="Calibri"/>
        </w:rPr>
        <w:t xml:space="preserve">                                                             </w:t>
      </w:r>
      <w:r>
        <w:rPr>
          <w:rFonts w:ascii="Calibri" w:hAnsi="Calibri"/>
        </w:rPr>
        <w:t xml:space="preserve">     </w:t>
      </w:r>
    </w:p>
    <w:p>
      <w:pPr>
        <w:pStyle w:val="style0"/>
        <w:rPr>
          <w:lang w:val="en-US"/>
        </w:rPr>
      </w:pPr>
      <w:r>
        <w:rPr>
          <w:noProof/>
          <w:lang w:val="en-US" w:eastAsia="zh-TW"/>
        </w:rPr>
        <w:pict>
          <v:shapetype id="_x0000_t202" coordsize="21600,21600" o:spt="202" path="m,l,21600r21600,l21600,xe">
            <v:stroke joinstyle="miter"/>
            <v:path gradientshapeok="t" o:connecttype="rect"/>
          </v:shapetype>
          <v:shape id="1028" type="#_x0000_t202" fillcolor="white" stroked="f" style="position:absolute;margin-left:227.55pt;margin-top:7.85pt;width:245.2pt;height:36.75pt;z-index:3;mso-position-horizontal-relative:text;mso-position-vertical-relative:text;mso-width-relative:margin;mso-height-relative:margin;mso-wrap-distance-left:0.0pt;mso-wrap-distance-right:0.0pt;visibility:visible;">
            <v:stroke on="f" joinstyle="miter"/>
            <v:fill/>
            <v:path o:connecttype="rect" gradientshapeok="t"/>
            <v:textbox>
              <w:txbxContent>
                <w:p>
                  <w:pPr>
                    <w:pStyle w:val="style0"/>
                    <w:jc w:val="center"/>
                    <w:rPr>
                      <w:b/>
                      <w:bCs/>
                      <w:color w:val="002060"/>
                      <w:sz w:val="44"/>
                      <w:szCs w:val="40"/>
                    </w:rPr>
                  </w:pPr>
                  <w:r>
                    <w:rPr>
                      <w:sz w:val="24"/>
                    </w:rPr>
                    <w:t xml:space="preserve">   </w:t>
                  </w:r>
                  <w:r>
                    <w:rPr>
                      <w:b/>
                      <w:bCs/>
                      <w:color w:val="002060"/>
                      <w:sz w:val="44"/>
                      <w:szCs w:val="40"/>
                    </w:rPr>
                    <w:t>Assignment Cover Sheet</w:t>
                  </w:r>
                </w:p>
                <w:p>
                  <w:pPr>
                    <w:pStyle w:val="style0"/>
                    <w:rPr/>
                  </w:pPr>
                </w:p>
              </w:txbxContent>
            </v:textbox>
          </v:shape>
        </w:pict>
      </w:r>
    </w:p>
    <w:p>
      <w:pPr>
        <w:pStyle w:val="style0"/>
        <w:rPr>
          <w:lang w:val="en-US"/>
        </w:rPr>
      </w:pPr>
    </w:p>
    <w:p>
      <w:pPr>
        <w:pStyle w:val="style0"/>
        <w:rPr>
          <w:lang w:val="en-US"/>
        </w:rPr>
      </w:pPr>
    </w:p>
    <w:p>
      <w:pPr>
        <w:pStyle w:val="style0"/>
        <w:rPr>
          <w:lang w:val="en-US"/>
        </w:rPr>
      </w:pPr>
    </w:p>
    <w:tbl>
      <w:tblPr>
        <w:tblStyle w:val="style154"/>
        <w:tblW w:w="0" w:type="auto"/>
        <w:tblLook w:val="04A0" w:firstRow="1" w:lastRow="0" w:firstColumn="1" w:lastColumn="0" w:noHBand="0" w:noVBand="1"/>
      </w:tblPr>
      <w:tblGrid>
        <w:gridCol w:w="2566"/>
        <w:gridCol w:w="6676"/>
      </w:tblGrid>
      <w:tr>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4100"/>
              <w:rPr>
                <w:rFonts w:ascii="Calibri" w:hAnsi="Calibri"/>
              </w:rPr>
            </w:pPr>
            <w:r>
              <w:rPr>
                <w:rFonts w:ascii="Calibri" w:hAnsi="Calibri"/>
              </w:rPr>
              <w:t>Effah Eugene Tannor</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FitText w:val="false"/>
          </w:tcPr>
          <w:p>
            <w:pPr>
              <w:pStyle w:val="style4100"/>
              <w:rPr>
                <w:rFonts w:ascii="Calibri" w:hAnsi="Calibri"/>
              </w:rPr>
            </w:pPr>
            <w:r>
              <w:rPr>
                <w:rFonts w:ascii="Calibri" w:hAnsi="Calibri"/>
              </w:rPr>
              <w:t>2312</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4100"/>
              <w:rPr>
                <w:rFonts w:ascii="Calibri" w:hAnsi="Calibri"/>
              </w:rPr>
            </w:pPr>
            <w:r>
              <w:rPr>
                <w:rFonts w:ascii="Calibri" w:hAnsi="Calibri"/>
              </w:rPr>
              <w:t>Diploma in Forensic Accounting (</w:t>
            </w:r>
            <w:r>
              <w:rPr>
                <w:rFonts w:ascii="Calibri" w:hAnsi="Calibri"/>
              </w:rPr>
              <w:t>Level 4)</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0"/>
              <w:rPr/>
            </w:pPr>
            <w:r>
              <w:t>T</w:t>
            </w:r>
            <w:r>
              <w:t>hree</w:t>
            </w:r>
          </w:p>
        </w:tc>
      </w:tr>
    </w:tbl>
    <w:p>
      <w:pPr>
        <w:pStyle w:val="style0"/>
        <w:rPr>
          <w:b/>
          <w:lang w:val="en-US"/>
        </w:rPr>
      </w:pPr>
    </w:p>
    <w:p>
      <w:pPr>
        <w:pStyle w:val="style0"/>
        <w:rPr>
          <w:b/>
          <w:sz w:val="28"/>
          <w:lang w:val="en-US"/>
        </w:rPr>
      </w:pPr>
      <w:r>
        <w:rPr>
          <w:b/>
          <w:sz w:val="28"/>
          <w:lang w:val="en-US"/>
        </w:rPr>
        <w:t>Marking Criteria:</w:t>
      </w:r>
    </w:p>
    <w:p>
      <w:pPr>
        <w:pStyle w:val="style0"/>
        <w:rPr>
          <w:lang w:val="en-US"/>
        </w:rPr>
      </w:pPr>
      <w:r>
        <w:rPr>
          <w:b/>
          <w:lang w:val="en-US"/>
        </w:rPr>
        <w:t xml:space="preserve"> </w:t>
      </w:r>
      <w:r>
        <w:rPr>
          <w:lang w:val="en-US"/>
        </w:rPr>
        <w:t>We expect the learner</w:t>
      </w:r>
      <w:r>
        <w:rPr>
          <w:lang w:val="en-US"/>
        </w:rPr>
        <w:t>s</w:t>
      </w:r>
      <w:r>
        <w:rPr>
          <w:lang w:val="en-US"/>
        </w:rPr>
        <w:t xml:space="preserve"> to write minimum one well expressed point in</w:t>
      </w:r>
      <w:r>
        <w:rPr>
          <w:lang w:val="en-US"/>
        </w:rPr>
        <w:t xml:space="preserve"> </w:t>
      </w:r>
      <w:r>
        <w:rPr>
          <w:lang w:val="en-US"/>
        </w:rPr>
        <w:t>three lines</w:t>
      </w:r>
      <w:r>
        <w:rPr>
          <w:lang w:val="en-US"/>
        </w:rPr>
        <w:t xml:space="preserve"> against each allocated mark. This means one need</w:t>
      </w:r>
      <w:r>
        <w:rPr>
          <w:lang w:val="en-US"/>
        </w:rPr>
        <w:t>s</w:t>
      </w:r>
      <w:r>
        <w:rPr>
          <w:lang w:val="en-US"/>
        </w:rPr>
        <w:t xml:space="preserve"> to write 15 lines with </w:t>
      </w:r>
      <w:r>
        <w:rPr>
          <w:lang w:val="en-US"/>
        </w:rPr>
        <w:t>5 well expressed</w:t>
      </w:r>
      <w:r>
        <w:rPr>
          <w:lang w:val="en-US"/>
        </w:rPr>
        <w:t xml:space="preserve"> points to get high grades for a 5 marks question.</w:t>
      </w:r>
    </w:p>
    <w:p>
      <w:pPr>
        <w:pStyle w:val="style0"/>
        <w:rPr>
          <w:lang w:val="en-US"/>
        </w:rPr>
      </w:pPr>
      <w:r>
        <w:rPr>
          <w:lang w:val="en-US"/>
        </w:rPr>
        <w:t xml:space="preserve">For high grades use </w:t>
      </w:r>
      <w:r>
        <w:rPr>
          <w:lang w:val="en-US"/>
        </w:rPr>
        <w:t xml:space="preserve">examples and illustrations </w:t>
      </w:r>
      <w:r>
        <w:rPr>
          <w:lang w:val="en-US"/>
        </w:rPr>
        <w:t>where appropriate</w:t>
      </w:r>
      <w:r>
        <w:rPr>
          <w:lang w:val="en-US"/>
        </w:rPr>
        <w:t>.</w:t>
      </w:r>
      <w:r>
        <w:rPr>
          <w:lang w:val="en-US"/>
        </w:rPr>
        <w:t xml:space="preserve"> </w:t>
      </w:r>
    </w:p>
    <w:tbl>
      <w:tblPr>
        <w:tblStyle w:val="style154"/>
        <w:tblW w:w="0" w:type="auto"/>
        <w:tblLook w:val="04A0" w:firstRow="1" w:lastRow="0" w:firstColumn="1" w:lastColumn="0" w:noHBand="0" w:noVBand="1"/>
      </w:tblPr>
      <w:tblGrid>
        <w:gridCol w:w="9242"/>
      </w:tblGrid>
      <w:tr>
        <w:trPr>
          <w:trHeight w:val="14516" w:hRule="atLeast"/>
        </w:trPr>
        <w:tc>
          <w:tcPr>
            <w:tcW w:w="9242" w:type="dxa"/>
            <w:tcBorders/>
            <w:tcFitText w:val="false"/>
          </w:tcPr>
          <w:p>
            <w:pPr>
              <w:pStyle w:val="style0"/>
              <w:ind w:firstLineChars="200"/>
              <w:jc w:val="left"/>
              <w:rPr>
                <w:b/>
                <w:sz w:val="24"/>
                <w:szCs w:val="24"/>
              </w:rPr>
            </w:pPr>
            <w:r>
              <w:rPr>
                <w:b/>
                <w:sz w:val="24"/>
                <w:szCs w:val="24"/>
              </w:rPr>
              <w:t xml:space="preserve">                                               </w:t>
            </w:r>
          </w:p>
          <w:p>
            <w:pPr>
              <w:pStyle w:val="style0"/>
              <w:ind w:firstLineChars="200"/>
              <w:jc w:val="left"/>
              <w:rPr>
                <w:sz w:val="24"/>
                <w:szCs w:val="24"/>
              </w:rPr>
            </w:pPr>
            <w:r>
              <w:rPr>
                <w:b/>
                <w:sz w:val="24"/>
                <w:szCs w:val="24"/>
              </w:rPr>
              <w:t xml:space="preserve">                                        ASSESSMENT 3</w:t>
            </w:r>
          </w:p>
          <w:p>
            <w:pPr>
              <w:pStyle w:val="style179"/>
              <w:jc w:val="both"/>
              <w:rPr>
                <w:sz w:val="24"/>
                <w:szCs w:val="24"/>
              </w:rPr>
            </w:pPr>
            <w:r>
              <w:rPr>
                <w:sz w:val="24"/>
                <w:szCs w:val="24"/>
              </w:rPr>
              <w:t>i. I would differentiate between High level thieves from low level thieves being an investigative officer by the following characteristics:</w:t>
            </w:r>
          </w:p>
          <w:tbl>
            <w:tblPr>
              <w:jc w:val="left"/>
            </w:tblPr>
            <w:tblGrid>
              <w:gridCol w:w="4449"/>
              <w:gridCol w:w="4407"/>
            </w:tblGrid>
            <w:tr>
              <w:trPr>
                <w:cantSplit w:val="false"/>
                <w:tblHeader w:val="false"/>
                <w:jc w:val="left"/>
              </w:trPr>
              <w:tc>
                <w:tcPr>
                  <w:tcW w:w="4449" w:type="dxa"/>
                  <w:tcBorders>
                    <w:top w:val="single" w:sz="4" w:space="0" w:color="auto"/>
                    <w:left w:val="single" w:sz="4" w:space="0" w:color="auto"/>
                    <w:bottom w:val="single" w:sz="4" w:space="0" w:color="auto"/>
                    <w:right w:val="single" w:sz="4" w:space="0" w:color="auto"/>
                  </w:tcBorders>
                  <w:tcFitText w:val="false"/>
                </w:tcPr>
                <w:p>
                  <w:pPr>
                    <w:pStyle w:val="style179"/>
                    <w:ind w:left="0"/>
                    <w:jc w:val="both"/>
                    <w:rPr>
                      <w:b/>
                      <w:sz w:val="24"/>
                      <w:szCs w:val="24"/>
                    </w:rPr>
                  </w:pPr>
                  <w:r>
                    <w:rPr>
                      <w:b/>
                      <w:sz w:val="24"/>
                      <w:szCs w:val="24"/>
                    </w:rPr>
                    <w:t xml:space="preserve">                  </w:t>
                  </w:r>
                </w:p>
                <w:p>
                  <w:pPr>
                    <w:pStyle w:val="style179"/>
                    <w:ind w:left="0"/>
                    <w:jc w:val="both"/>
                    <w:rPr>
                      <w:sz w:val="24"/>
                      <w:szCs w:val="24"/>
                    </w:rPr>
                  </w:pPr>
                  <w:r>
                    <w:rPr>
                      <w:b/>
                      <w:sz w:val="24"/>
                      <w:szCs w:val="24"/>
                    </w:rPr>
                    <w:t xml:space="preserve">                        </w:t>
                  </w:r>
                  <w:r>
                    <w:rPr>
                      <w:b/>
                      <w:sz w:val="24"/>
                      <w:szCs w:val="24"/>
                    </w:rPr>
                    <w:t>HIGH – LEVEL THIEVES</w:t>
                  </w:r>
                </w:p>
              </w:tc>
              <w:tc>
                <w:tcPr>
                  <w:tcW w:w="4407" w:type="dxa"/>
                  <w:tcBorders>
                    <w:top w:val="single" w:sz="4" w:space="0" w:color="auto"/>
                    <w:left w:val="single" w:sz="4" w:space="0" w:color="auto"/>
                    <w:bottom w:val="single" w:sz="4" w:space="0" w:color="auto"/>
                    <w:right w:val="single" w:sz="4" w:space="0" w:color="auto"/>
                  </w:tcBorders>
                  <w:tcFitText w:val="false"/>
                </w:tcPr>
                <w:p>
                  <w:pPr>
                    <w:pStyle w:val="style179"/>
                    <w:ind w:left="0"/>
                    <w:jc w:val="both"/>
                    <w:rPr>
                      <w:b/>
                      <w:sz w:val="24"/>
                      <w:szCs w:val="24"/>
                    </w:rPr>
                  </w:pPr>
                  <w:r>
                    <w:rPr>
                      <w:b/>
                      <w:sz w:val="24"/>
                      <w:szCs w:val="24"/>
                    </w:rPr>
                    <w:t xml:space="preserve">                 </w:t>
                  </w:r>
                </w:p>
                <w:p>
                  <w:pPr>
                    <w:pStyle w:val="style179"/>
                    <w:ind w:left="0"/>
                    <w:jc w:val="both"/>
                    <w:rPr>
                      <w:sz w:val="24"/>
                      <w:szCs w:val="24"/>
                    </w:rPr>
                  </w:pPr>
                  <w:r>
                    <w:rPr>
                      <w:b/>
                      <w:sz w:val="24"/>
                      <w:szCs w:val="24"/>
                    </w:rPr>
                    <w:t xml:space="preserve">                LOW-LEVEL THIEVES</w:t>
                  </w:r>
                </w:p>
              </w:tc>
            </w:tr>
            <w:tr>
              <w:tblPrEx/>
              <w:trPr>
                <w:cantSplit w:val="false"/>
                <w:tblHeader w:val="false"/>
                <w:jc w:val="left"/>
              </w:trPr>
              <w:tc>
                <w:tcPr>
                  <w:tcW w:w="4449" w:type="dxa"/>
                  <w:tcBorders>
                    <w:top w:val="single" w:sz="4" w:space="0" w:color="auto"/>
                    <w:left w:val="single" w:sz="4" w:space="0" w:color="auto"/>
                    <w:bottom w:val="single" w:sz="4" w:space="0" w:color="auto"/>
                    <w:right w:val="single" w:sz="4" w:space="0" w:color="auto"/>
                  </w:tcBorders>
                  <w:tcFitText w:val="false"/>
                </w:tcPr>
                <w:p>
                  <w:pPr>
                    <w:pStyle w:val="style0"/>
                    <w:jc w:val="both"/>
                    <w:rPr>
                      <w:sz w:val="24"/>
                      <w:szCs w:val="24"/>
                    </w:rPr>
                  </w:pPr>
                  <w:r>
                    <w:rPr>
                      <w:sz w:val="24"/>
                      <w:szCs w:val="24"/>
                    </w:rPr>
                    <w:t>They are high – level managers or employees  who really understand the internal control environment of an entity and are able to override and by-pass those controls and easily steal huge sums of money</w:t>
                  </w:r>
                </w:p>
              </w:tc>
              <w:tc>
                <w:tcPr>
                  <w:tcW w:w="4407" w:type="dxa"/>
                  <w:tcBorders>
                    <w:top w:val="single" w:sz="4" w:space="0" w:color="auto"/>
                    <w:left w:val="single" w:sz="4" w:space="0" w:color="auto"/>
                    <w:bottom w:val="single" w:sz="4" w:space="0" w:color="auto"/>
                    <w:right w:val="single" w:sz="4" w:space="0" w:color="auto"/>
                  </w:tcBorders>
                  <w:tcFitText w:val="false"/>
                </w:tcPr>
                <w:p>
                  <w:pPr>
                    <w:pStyle w:val="style179"/>
                    <w:ind w:left="0"/>
                    <w:jc w:val="both"/>
                    <w:rPr>
                      <w:sz w:val="24"/>
                      <w:szCs w:val="24"/>
                    </w:rPr>
                  </w:pPr>
                  <w:r>
                    <w:rPr>
                      <w:sz w:val="24"/>
                      <w:szCs w:val="24"/>
                    </w:rPr>
                    <w:t>They are the bottom –line managers or employees of an organization whose knowledge in the internal control environment and find it difficult to understand and identify control weaknesses and as a result, their criminal activity when quantified is small</w:t>
                  </w:r>
                </w:p>
              </w:tc>
            </w:tr>
            <w:tr>
              <w:tblPrEx/>
              <w:trPr>
                <w:cantSplit w:val="false"/>
                <w:tblHeader w:val="false"/>
                <w:jc w:val="left"/>
              </w:trPr>
              <w:tc>
                <w:tcPr>
                  <w:tcW w:w="4449" w:type="dxa"/>
                  <w:tcBorders>
                    <w:top w:val="single" w:sz="4" w:space="0" w:color="auto"/>
                    <w:left w:val="single" w:sz="4" w:space="0" w:color="auto"/>
                    <w:bottom w:val="single" w:sz="4" w:space="0" w:color="auto"/>
                    <w:right w:val="single" w:sz="4" w:space="0" w:color="auto"/>
                  </w:tcBorders>
                  <w:tcFitText w:val="false"/>
                </w:tcPr>
                <w:p>
                  <w:pPr>
                    <w:pStyle w:val="style179"/>
                    <w:jc w:val="both"/>
                    <w:rPr>
                      <w:sz w:val="24"/>
                      <w:szCs w:val="24"/>
                    </w:rPr>
                  </w:pPr>
                  <w:r>
                    <w:rPr>
                      <w:sz w:val="24"/>
                      <w:szCs w:val="24"/>
                    </w:rPr>
                    <w:t>Due to their organizational and social status, they are hardly suspected to be criminals but they commit serious kinds of fraud or crimes in an entity</w:t>
                  </w:r>
                </w:p>
              </w:tc>
              <w:tc>
                <w:tcPr>
                  <w:tcW w:w="4407" w:type="dxa"/>
                  <w:tcBorders>
                    <w:top w:val="single" w:sz="4" w:space="0" w:color="auto"/>
                    <w:left w:val="single" w:sz="4" w:space="0" w:color="auto"/>
                    <w:bottom w:val="single" w:sz="4" w:space="0" w:color="auto"/>
                    <w:right w:val="single" w:sz="4" w:space="0" w:color="auto"/>
                  </w:tcBorders>
                  <w:tcFitText w:val="false"/>
                </w:tcPr>
                <w:p>
                  <w:pPr>
                    <w:pStyle w:val="style179"/>
                    <w:ind w:left="0"/>
                    <w:jc w:val="both"/>
                    <w:rPr>
                      <w:sz w:val="24"/>
                      <w:szCs w:val="24"/>
                    </w:rPr>
                  </w:pPr>
                  <w:r>
                    <w:rPr>
                      <w:sz w:val="24"/>
                      <w:szCs w:val="24"/>
                    </w:rPr>
                    <w:t>Traces are that because they belong to the bottom-line working group in an organizational hierarchy, they are somehow suspected easily to be fond of fraud</w:t>
                  </w:r>
                </w:p>
              </w:tc>
            </w:tr>
            <w:tr>
              <w:tblPrEx/>
              <w:trPr>
                <w:cantSplit w:val="false"/>
                <w:tblHeader w:val="false"/>
                <w:jc w:val="left"/>
              </w:trPr>
              <w:tc>
                <w:tcPr>
                  <w:tcW w:w="4449" w:type="dxa"/>
                  <w:tcBorders>
                    <w:top w:val="single" w:sz="4" w:space="0" w:color="auto"/>
                    <w:left w:val="single" w:sz="4" w:space="0" w:color="auto"/>
                    <w:bottom w:val="single" w:sz="4" w:space="0" w:color="auto"/>
                    <w:right w:val="single" w:sz="4" w:space="0" w:color="auto"/>
                  </w:tcBorders>
                  <w:tcFitText w:val="false"/>
                </w:tcPr>
                <w:p>
                  <w:pPr>
                    <w:pStyle w:val="style179"/>
                    <w:jc w:val="both"/>
                    <w:rPr>
                      <w:sz w:val="24"/>
                      <w:szCs w:val="24"/>
                    </w:rPr>
                  </w:pPr>
                  <w:r>
                    <w:rPr>
                      <w:sz w:val="24"/>
                      <w:szCs w:val="24"/>
                    </w:rPr>
                    <w:t>They are the key position holders in an entity and they hold positions of trust</w:t>
                  </w:r>
                </w:p>
              </w:tc>
              <w:tc>
                <w:tcPr>
                  <w:tcW w:w="4407" w:type="dxa"/>
                  <w:tcBorders>
                    <w:top w:val="single" w:sz="4" w:space="0" w:color="auto"/>
                    <w:left w:val="single" w:sz="4" w:space="0" w:color="auto"/>
                    <w:bottom w:val="single" w:sz="4" w:space="0" w:color="auto"/>
                    <w:right w:val="single" w:sz="4" w:space="0" w:color="auto"/>
                  </w:tcBorders>
                  <w:tcFitText w:val="false"/>
                </w:tcPr>
                <w:p>
                  <w:pPr>
                    <w:pStyle w:val="style179"/>
                    <w:ind w:left="0"/>
                    <w:jc w:val="both"/>
                    <w:rPr>
                      <w:sz w:val="24"/>
                      <w:szCs w:val="24"/>
                    </w:rPr>
                  </w:pPr>
                  <w:r>
                    <w:rPr>
                      <w:sz w:val="24"/>
                      <w:szCs w:val="24"/>
                    </w:rPr>
                    <w:t>Their incidence of fraud are more numerous because of the large number of employees involved</w:t>
                  </w:r>
                </w:p>
              </w:tc>
            </w:tr>
            <w:tr>
              <w:tblPrEx/>
              <w:trPr>
                <w:cantSplit w:val="false"/>
                <w:trHeight w:val="1178" w:hRule="atLeast"/>
                <w:tblHeader w:val="false"/>
                <w:jc w:val="left"/>
              </w:trPr>
              <w:tc>
                <w:tcPr>
                  <w:tcW w:w="4449" w:type="dxa"/>
                  <w:tcBorders>
                    <w:top w:val="single" w:sz="4" w:space="0" w:color="auto"/>
                    <w:left w:val="single" w:sz="4" w:space="0" w:color="auto"/>
                    <w:bottom w:val="single" w:sz="4" w:space="0" w:color="auto"/>
                    <w:right w:val="single" w:sz="4" w:space="0" w:color="auto"/>
                  </w:tcBorders>
                  <w:tcFitText w:val="false"/>
                </w:tcPr>
                <w:p>
                  <w:pPr>
                    <w:pStyle w:val="style179"/>
                    <w:jc w:val="both"/>
                    <w:rPr>
                      <w:sz w:val="24"/>
                      <w:szCs w:val="24"/>
                    </w:rPr>
                  </w:pPr>
                  <w:r>
                    <w:rPr>
                      <w:sz w:val="24"/>
                      <w:szCs w:val="24"/>
                    </w:rPr>
                    <w:t>They possess above – average intelligence, well educated and are  highly skilled in their various professions</w:t>
                  </w:r>
                </w:p>
              </w:tc>
              <w:tc>
                <w:tcPr>
                  <w:tcW w:w="4407" w:type="dxa"/>
                  <w:tcBorders>
                    <w:top w:val="single" w:sz="4" w:space="0" w:color="auto"/>
                    <w:left w:val="single" w:sz="4" w:space="0" w:color="auto"/>
                    <w:bottom w:val="single" w:sz="4" w:space="0" w:color="auto"/>
                    <w:right w:val="single" w:sz="4" w:space="0" w:color="auto"/>
                  </w:tcBorders>
                  <w:tcFitText w:val="false"/>
                </w:tcPr>
                <w:p>
                  <w:pPr>
                    <w:pStyle w:val="style179"/>
                    <w:ind w:left="0"/>
                    <w:jc w:val="both"/>
                    <w:rPr>
                      <w:sz w:val="24"/>
                      <w:szCs w:val="24"/>
                    </w:rPr>
                  </w:pPr>
                  <w:r>
                    <w:rPr>
                      <w:sz w:val="24"/>
                      <w:szCs w:val="24"/>
                    </w:rPr>
                    <w:t>Their intelligence level is below-average as compared to the high-level thieves and having a high school level of education and with a low level of experience and knowledge in accounting and finance.</w:t>
                  </w:r>
                </w:p>
              </w:tc>
            </w:tr>
            <w:tr>
              <w:tblPrEx/>
              <w:trPr>
                <w:cantSplit w:val="false"/>
                <w:tblHeader w:val="false"/>
                <w:jc w:val="left"/>
              </w:trPr>
              <w:tc>
                <w:tcPr>
                  <w:tcW w:w="4449" w:type="dxa"/>
                  <w:tcBorders>
                    <w:top w:val="single" w:sz="4" w:space="0" w:color="auto"/>
                    <w:left w:val="single" w:sz="4" w:space="0" w:color="auto"/>
                    <w:bottom w:val="single" w:sz="4" w:space="0" w:color="auto"/>
                    <w:right w:val="single" w:sz="4" w:space="0" w:color="auto"/>
                  </w:tcBorders>
                  <w:tcFitText w:val="false"/>
                </w:tcPr>
                <w:p>
                  <w:pPr>
                    <w:jc w:val="both"/>
                    <w:rPr>
                      <w:sz w:val="24"/>
                      <w:szCs w:val="24"/>
                    </w:rPr>
                  </w:pPr>
                  <w:r>
                    <w:rPr>
                      <w:sz w:val="24"/>
                      <w:szCs w:val="24"/>
                    </w:rPr>
                    <w:t>They are people of high – income earning group,  long-term serving employees of an organization, males above sixty (60) years of age,  and have never been subjected to criminal charges but working in tandem with other perpetrators  and whose estimated sum of their criminal activities are huge.</w:t>
                  </w:r>
                </w:p>
              </w:tc>
              <w:tc>
                <w:tcPr>
                  <w:tcW w:w="4407" w:type="dxa"/>
                  <w:tcBorders>
                    <w:top w:val="single" w:sz="4" w:space="0" w:color="auto"/>
                    <w:left w:val="single" w:sz="4" w:space="0" w:color="auto"/>
                    <w:bottom w:val="single" w:sz="4" w:space="0" w:color="auto"/>
                    <w:right w:val="single" w:sz="4" w:space="0" w:color="auto"/>
                  </w:tcBorders>
                  <w:tcFitText w:val="false"/>
                </w:tcPr>
                <w:p>
                  <w:pPr>
                    <w:pStyle w:val="style179"/>
                    <w:ind w:left="0"/>
                    <w:jc w:val="both"/>
                    <w:rPr>
                      <w:sz w:val="24"/>
                      <w:szCs w:val="24"/>
                    </w:rPr>
                  </w:pPr>
                  <w:r>
                    <w:rPr>
                      <w:sz w:val="24"/>
                      <w:szCs w:val="24"/>
                    </w:rPr>
                    <w:t>They are people of low-income earning group, long-term serving employees of the organization, irrespective of gender, between the ages of 41-50 and with high school level of education; they also prefer working alone to working in groups.</w:t>
                  </w:r>
                </w:p>
              </w:tc>
            </w:tr>
          </w:tbl>
          <w:p>
            <w:pPr>
              <w:pStyle w:val="style179"/>
              <w:jc w:val="both"/>
              <w:rPr>
                <w:sz w:val="24"/>
                <w:szCs w:val="24"/>
              </w:rPr>
            </w:pPr>
          </w:p>
          <w:p>
            <w:pPr>
              <w:pStyle w:val="style179"/>
              <w:jc w:val="both"/>
              <w:rPr>
                <w:sz w:val="24"/>
                <w:szCs w:val="24"/>
              </w:rPr>
            </w:pPr>
            <w:r>
              <w:rPr>
                <w:sz w:val="24"/>
                <w:szCs w:val="24"/>
              </w:rPr>
              <w:t xml:space="preserve"> </w:t>
            </w:r>
          </w:p>
          <w:p>
            <w:pPr>
              <w:pStyle w:val="style179"/>
              <w:jc w:val="both"/>
              <w:rPr>
                <w:sz w:val="24"/>
                <w:szCs w:val="24"/>
              </w:rPr>
            </w:pPr>
            <w:r>
              <w:rPr>
                <w:sz w:val="24"/>
                <w:szCs w:val="24"/>
              </w:rPr>
              <w:t xml:space="preserve">ii. The profile of a typical criminal who commits more expensive fraud </w:t>
            </w:r>
            <w:r>
              <w:rPr>
                <w:sz w:val="24"/>
                <w:szCs w:val="24"/>
              </w:rPr>
              <w:t>are</w:t>
            </w:r>
            <w:r>
              <w:rPr>
                <w:sz w:val="24"/>
                <w:szCs w:val="24"/>
              </w:rPr>
              <w:t xml:space="preserve"> as follows:</w:t>
            </w:r>
          </w:p>
          <w:p>
            <w:pPr>
              <w:pStyle w:val="style179"/>
              <w:jc w:val="both"/>
              <w:rPr>
                <w:sz w:val="24"/>
                <w:szCs w:val="24"/>
              </w:rPr>
            </w:pPr>
            <w:r>
              <w:rPr>
                <w:sz w:val="24"/>
                <w:szCs w:val="24"/>
              </w:rPr>
              <w:t xml:space="preserve">a.  </w:t>
            </w:r>
            <w:r>
              <w:rPr>
                <w:sz w:val="24"/>
                <w:szCs w:val="24"/>
              </w:rPr>
              <w:t>The typical criminal is at least 30 years of age or older</w:t>
            </w:r>
          </w:p>
          <w:p>
            <w:pPr>
              <w:pStyle w:val="style179"/>
              <w:jc w:val="both"/>
              <w:rPr>
                <w:sz w:val="24"/>
                <w:szCs w:val="24"/>
              </w:rPr>
            </w:pPr>
            <w:r>
              <w:rPr>
                <w:sz w:val="24"/>
                <w:szCs w:val="24"/>
              </w:rPr>
              <w:t>b</w:t>
            </w:r>
            <w:r>
              <w:rPr>
                <w:sz w:val="24"/>
                <w:szCs w:val="24"/>
              </w:rPr>
              <w:t xml:space="preserve">. </w:t>
            </w:r>
            <w:r>
              <w:rPr>
                <w:sz w:val="24"/>
                <w:szCs w:val="24"/>
              </w:rPr>
              <w:t xml:space="preserve">More likely to be male (55%) than female (45%) </w:t>
            </w:r>
          </w:p>
          <w:p>
            <w:pPr>
              <w:pStyle w:val="style179"/>
              <w:jc w:val="both"/>
              <w:rPr>
                <w:sz w:val="24"/>
                <w:szCs w:val="24"/>
              </w:rPr>
            </w:pPr>
            <w:r>
              <w:rPr>
                <w:sz w:val="24"/>
                <w:szCs w:val="24"/>
              </w:rPr>
              <w:t xml:space="preserve">c. </w:t>
            </w:r>
            <w:r>
              <w:rPr>
                <w:sz w:val="24"/>
                <w:szCs w:val="24"/>
              </w:rPr>
              <w:t>Maintains the appearance of having a stable family</w:t>
            </w:r>
          </w:p>
          <w:p>
            <w:pPr>
              <w:pStyle w:val="style179"/>
              <w:jc w:val="both"/>
              <w:rPr>
                <w:sz w:val="24"/>
                <w:szCs w:val="24"/>
              </w:rPr>
            </w:pPr>
            <w:r>
              <w:rPr>
                <w:sz w:val="24"/>
                <w:szCs w:val="24"/>
              </w:rPr>
              <w:t>d</w:t>
            </w:r>
            <w:r>
              <w:rPr>
                <w:sz w:val="24"/>
                <w:szCs w:val="24"/>
              </w:rPr>
              <w:t xml:space="preserve">. </w:t>
            </w:r>
            <w:r>
              <w:rPr>
                <w:sz w:val="24"/>
                <w:szCs w:val="24"/>
              </w:rPr>
              <w:t xml:space="preserve">The criminal has above-average education and is less likely to possess a </w:t>
            </w:r>
            <w:r>
              <w:rPr>
                <w:sz w:val="24"/>
                <w:szCs w:val="24"/>
              </w:rPr>
              <w:t xml:space="preserve">  </w:t>
            </w:r>
            <w:r>
              <w:rPr>
                <w:sz w:val="24"/>
                <w:szCs w:val="24"/>
              </w:rPr>
              <w:t>proven criminal track record</w:t>
            </w:r>
          </w:p>
          <w:p>
            <w:pPr>
              <w:pStyle w:val="style179"/>
              <w:jc w:val="both"/>
              <w:rPr>
                <w:sz w:val="24"/>
                <w:szCs w:val="24"/>
              </w:rPr>
            </w:pPr>
            <w:r>
              <w:rPr>
                <w:sz w:val="24"/>
                <w:szCs w:val="24"/>
              </w:rPr>
              <w:t>e</w:t>
            </w:r>
            <w:r>
              <w:rPr>
                <w:sz w:val="24"/>
                <w:szCs w:val="24"/>
              </w:rPr>
              <w:t xml:space="preserve">. </w:t>
            </w:r>
            <w:r>
              <w:rPr>
                <w:sz w:val="24"/>
                <w:szCs w:val="24"/>
              </w:rPr>
              <w:t>The typical criminal is skeptical and psychologically healthy</w:t>
            </w:r>
          </w:p>
          <w:p>
            <w:pPr>
              <w:pStyle w:val="style179"/>
              <w:jc w:val="both"/>
              <w:rPr>
                <w:sz w:val="24"/>
                <w:szCs w:val="24"/>
              </w:rPr>
            </w:pPr>
            <w:r>
              <w:rPr>
                <w:sz w:val="24"/>
                <w:szCs w:val="24"/>
              </w:rPr>
              <w:t>f</w:t>
            </w:r>
            <w:r>
              <w:rPr>
                <w:sz w:val="24"/>
                <w:szCs w:val="24"/>
              </w:rPr>
              <w:t xml:space="preserve">. </w:t>
            </w:r>
            <w:r>
              <w:rPr>
                <w:sz w:val="24"/>
                <w:szCs w:val="24"/>
              </w:rPr>
              <w:t xml:space="preserve">Holds a position of trust, having attained a high organizational status  in an entity </w:t>
            </w:r>
          </w:p>
          <w:p>
            <w:pPr>
              <w:pStyle w:val="style179"/>
              <w:jc w:val="both"/>
              <w:rPr>
                <w:sz w:val="24"/>
                <w:szCs w:val="24"/>
              </w:rPr>
            </w:pPr>
            <w:r>
              <w:rPr>
                <w:sz w:val="24"/>
                <w:szCs w:val="24"/>
              </w:rPr>
              <w:t>g</w:t>
            </w:r>
            <w:r>
              <w:rPr>
                <w:sz w:val="24"/>
                <w:szCs w:val="24"/>
              </w:rPr>
              <w:t>.</w:t>
            </w:r>
            <w:r>
              <w:rPr>
                <w:sz w:val="24"/>
                <w:szCs w:val="24"/>
              </w:rPr>
              <w:t xml:space="preserve"> </w:t>
            </w:r>
            <w:r>
              <w:rPr>
                <w:sz w:val="24"/>
                <w:szCs w:val="24"/>
              </w:rPr>
              <w:t>Having a detailed knowledge in accounting, finance and sometimes audit systems, having a prior experience in those fields and is able to identify the loopholes in the systems of an entity and takes advantage.</w:t>
            </w:r>
          </w:p>
          <w:p>
            <w:pPr>
              <w:pStyle w:val="style0"/>
              <w:jc w:val="both"/>
              <w:rPr>
                <w:sz w:val="24"/>
                <w:szCs w:val="24"/>
              </w:rPr>
            </w:pPr>
            <w:r>
              <w:rPr>
                <w:sz w:val="24"/>
                <w:szCs w:val="24"/>
              </w:rPr>
              <w:t xml:space="preserve">        iii. Calculating Criminals – These are the type of criminals who tend to possess above-average intelligence, well educated, risk-takers and known to be predators; they also tend to be repeat offenders lacking empathy and whose criminal activities are normally started in the later part of life.</w:t>
            </w:r>
          </w:p>
          <w:p>
            <w:pPr>
              <w:pStyle w:val="style0"/>
              <w:jc w:val="both"/>
              <w:rPr>
                <w:sz w:val="24"/>
                <w:szCs w:val="24"/>
              </w:rPr>
            </w:pPr>
            <w:r>
              <w:rPr>
                <w:sz w:val="24"/>
                <w:szCs w:val="24"/>
              </w:rPr>
              <w:t xml:space="preserve">iv. Situation Dependent Criminals – These are the type of criminals whose crimes are committed with the intent of not harming individuals and causing damage to properties but because of the circumstances in which they find themselves in.  </w:t>
            </w:r>
          </w:p>
          <w:p>
            <w:pPr>
              <w:pStyle w:val="style0"/>
              <w:jc w:val="both"/>
              <w:rPr>
                <w:sz w:val="24"/>
                <w:szCs w:val="24"/>
              </w:rPr>
            </w:pPr>
            <w:r>
              <w:rPr>
                <w:sz w:val="24"/>
                <w:szCs w:val="24"/>
              </w:rPr>
              <w:t xml:space="preserve">Power Brokers are the strong corporate criminals who hold high positions in an entity, possessing the features of both Calculating and Situation Dependent Criminals. Their criminal activities are mostly influenced by a dangerous combination of predatory traits and their respectable positions in an organization which they are able to exploit. </w:t>
            </w:r>
          </w:p>
          <w:p>
            <w:pPr>
              <w:pStyle w:val="style0"/>
              <w:jc w:val="both"/>
              <w:rPr>
                <w:sz w:val="24"/>
                <w:szCs w:val="24"/>
              </w:rPr>
            </w:pPr>
            <w:r>
              <w:rPr>
                <w:sz w:val="24"/>
                <w:szCs w:val="24"/>
              </w:rPr>
              <w:t>The main difference between the Situation Dependent Criminals and Power Brokers is that in the case of Situation Dependent Criminals, their objective is not to harm people and causing damages to properties and their employing entities but due to their pressing needs or demands at a particular moment Whilst Power Brokers, apart from holding positions of trust in an entity, they have the intent of deceiving at the core, they devise their means in order to obtain illegal benefits and make more money at the expense of their employing entities’ finances and its human resources. Finally, their crimes are characterized with a dangerous combination of predatory traits in relation to their trust positions in an entity.</w:t>
            </w:r>
          </w:p>
          <w:p>
            <w:pPr>
              <w:pStyle w:val="style0"/>
              <w:jc w:val="both"/>
              <w:rPr>
                <w:sz w:val="24"/>
                <w:szCs w:val="24"/>
              </w:rPr>
            </w:pPr>
            <w:r>
              <w:rPr>
                <w:sz w:val="24"/>
                <w:szCs w:val="24"/>
              </w:rPr>
              <w:t>(v) According to the Fraud Triangle, the following three (3) conditions must be present in order for a fraud to be justified.</w:t>
            </w:r>
          </w:p>
          <w:p>
            <w:pPr>
              <w:pStyle w:val="style0"/>
              <w:jc w:val="both"/>
              <w:rPr>
                <w:sz w:val="24"/>
                <w:szCs w:val="24"/>
              </w:rPr>
            </w:pPr>
            <w:r>
              <w:rPr>
                <w:sz w:val="24"/>
                <w:szCs w:val="24"/>
              </w:rPr>
              <w:t xml:space="preserve">    a. Pressure or Incentive i.e. the motivation to commit fraud</w:t>
            </w:r>
          </w:p>
          <w:p>
            <w:pPr>
              <w:pStyle w:val="style0"/>
              <w:jc w:val="both"/>
              <w:rPr>
                <w:sz w:val="24"/>
                <w:szCs w:val="24"/>
              </w:rPr>
            </w:pPr>
            <w:r>
              <w:rPr>
                <w:sz w:val="24"/>
                <w:szCs w:val="24"/>
              </w:rPr>
              <w:t xml:space="preserve">   b. Opportunity i.e. the ability to carry out misappropriation of cash and or asset</w:t>
            </w:r>
          </w:p>
          <w:p>
            <w:pPr>
              <w:pStyle w:val="style0"/>
              <w:jc w:val="both"/>
              <w:rPr>
                <w:sz w:val="24"/>
                <w:szCs w:val="24"/>
              </w:rPr>
            </w:pPr>
            <w:r>
              <w:rPr>
                <w:sz w:val="24"/>
                <w:szCs w:val="24"/>
              </w:rPr>
              <w:t xml:space="preserve">   c. Rationalization i.e. the </w:t>
            </w:r>
          </w:p>
          <w:p>
            <w:pPr>
              <w:pStyle w:val="style0"/>
              <w:jc w:val="both"/>
              <w:rPr>
                <w:sz w:val="24"/>
                <w:szCs w:val="24"/>
              </w:rPr>
            </w:pPr>
            <w:r>
              <w:rPr>
                <w:sz w:val="24"/>
                <w:szCs w:val="24"/>
              </w:rPr>
              <w:t xml:space="preserve">Justification for dishonest actions </w:t>
            </w:r>
            <w:r>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1031" type="#_x0000_t5" adj="11205," style="position:absolute;margin-left:227.22pt;margin-top:170.95pt;width:122.53pt;height:80.17pt;z-index:5;mso-position-horizontal-relative:page;mso-position-vertical-relative:page;mso-width-relative:page;mso-height-relative:page;mso-wrap-distance-left:0.0pt;mso-wrap-distance-right:0.0pt;visibility:visible;">
                  <v:stroke color="#3893e0"/>
                  <v:fill/>
                </v:shape>
              </w:pict>
            </w:r>
          </w:p>
          <w:p>
            <w:pPr>
              <w:pStyle w:val="style0"/>
              <w:jc w:val="both"/>
              <w:rPr>
                <w:sz w:val="24"/>
                <w:szCs w:val="24"/>
              </w:rPr>
            </w:pPr>
            <w:r>
              <w:rPr>
                <w:sz w:val="24"/>
                <w:szCs w:val="24"/>
              </w:rPr>
              <w:t>Diagrammatically, i</w:t>
            </w:r>
            <w:r>
              <w:rPr>
                <w:sz w:val="24"/>
                <w:szCs w:val="24"/>
              </w:rPr>
              <w:pict>
                <v:shape id="1030" type="#_x0000_t5" adj="10800," fillcolor="white" style="position:absolute;margin-left:99.64pt;margin-top:1676.88pt;width:75.6pt;height:75.6pt;z-index:4;mso-position-horizontal-relative:page;mso-position-vertical-relative:page;mso-width-relative:page;mso-height-relative:page;mso-wrap-distance-left:0.0pt;mso-wrap-distance-right:0.0pt;visibility:visible;">
                  <v:stroke joinstyle="miter" color="#3893e0"/>
                  <v:fill/>
                  <v:path textboxrect="0,10800,10800,18000;5400,10800,16200,18000;10800,10800,21600,18000;0,7200,7200,21600;7200,7200,14400,21600;14400,7200,21600,21600" o:connecttype="custom" o:connectlocs="@0,0;@1,10800;0,21600;10800,21600;21600,21600;@2,10800" gradientshapeok="t"/>
                </v:shape>
              </w:pict>
            </w:r>
            <w:r>
              <w:rPr>
                <w:sz w:val="24"/>
                <w:szCs w:val="24"/>
              </w:rPr>
              <w:t>t’s shown b</w:t>
            </w:r>
            <w:r>
              <w:rPr>
                <w:sz w:val="24"/>
                <w:szCs w:val="24"/>
              </w:rPr>
              <w:t>elow</w:t>
            </w:r>
            <w:r>
              <w:rPr>
                <w:sz w:val="24"/>
                <w:szCs w:val="24"/>
              </w:rPr>
              <w:t>;</w:t>
            </w:r>
          </w:p>
          <w:p>
            <w:pPr>
              <w:pStyle w:val="style0"/>
              <w:jc w:val="both"/>
              <w:rPr>
                <w:sz w:val="24"/>
                <w:szCs w:val="24"/>
              </w:rPr>
            </w:pP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Pressure</w:t>
            </w:r>
            <w:r>
              <w:rPr>
                <w:sz w:val="24"/>
                <w:szCs w:val="24"/>
              </w:rPr>
              <w:t xml:space="preserve">.              </w:t>
            </w:r>
            <w:r>
              <w:rPr>
                <w:sz w:val="24"/>
                <w:szCs w:val="24"/>
              </w:rPr>
              <w:t xml:space="preserve">    </w:t>
            </w:r>
            <w:r>
              <w:rPr>
                <w:sz w:val="24"/>
                <w:szCs w:val="24"/>
              </w:rPr>
              <w:t xml:space="preserve">      </w:t>
            </w:r>
            <w:r>
              <w:rPr>
                <w:sz w:val="24"/>
                <w:szCs w:val="24"/>
              </w:rPr>
              <w:t xml:space="preserve"> Opportunity</w:t>
            </w:r>
          </w:p>
          <w:p>
            <w:pPr>
              <w:pStyle w:val="style0"/>
              <w:jc w:val="both"/>
              <w:rPr>
                <w:sz w:val="24"/>
                <w:szCs w:val="24"/>
              </w:rPr>
            </w:pPr>
            <w:r>
              <w:rPr>
                <w:sz w:val="24"/>
                <w:szCs w:val="24"/>
              </w:rPr>
              <w:t xml:space="preserve">                          </w:t>
            </w:r>
          </w:p>
          <w:p>
            <w:pPr>
              <w:pStyle w:val="style0"/>
              <w:jc w:val="both"/>
              <w:rPr>
                <w:sz w:val="24"/>
                <w:szCs w:val="24"/>
              </w:rPr>
            </w:pP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Rationalization</w:t>
            </w:r>
          </w:p>
          <w:p>
            <w:pPr>
              <w:pStyle w:val="style0"/>
              <w:jc w:val="both"/>
              <w:rPr>
                <w:sz w:val="24"/>
                <w:szCs w:val="24"/>
              </w:rPr>
            </w:pPr>
            <w:r>
              <w:rPr>
                <w:sz w:val="24"/>
                <w:szCs w:val="24"/>
              </w:rPr>
              <w:t>vi. According to Gwynn Nettler, the following conditions must be present in order for employees’ perception about cheating, lying and stealing to be established.</w:t>
            </w:r>
          </w:p>
          <w:p>
            <w:pPr>
              <w:pStyle w:val="style179"/>
              <w:jc w:val="both"/>
              <w:rPr>
                <w:sz w:val="24"/>
                <w:szCs w:val="24"/>
              </w:rPr>
            </w:pPr>
            <w:r>
              <w:rPr>
                <w:sz w:val="24"/>
                <w:szCs w:val="24"/>
              </w:rPr>
              <w:t>(a) People who have low esteem for themselves and are disliked by others in the organization or society have a higher propensity to cheat, lie and steal to gain a societal or organizational respect.</w:t>
            </w:r>
          </w:p>
          <w:p>
            <w:pPr>
              <w:pStyle w:val="style179"/>
              <w:jc w:val="both"/>
              <w:rPr>
                <w:sz w:val="24"/>
                <w:szCs w:val="24"/>
              </w:rPr>
            </w:pPr>
            <w:r>
              <w:rPr>
                <w:sz w:val="24"/>
                <w:szCs w:val="24"/>
              </w:rPr>
              <w:t>(b) It is also likely that if people have experienced failure in their lives for a certain period, they are more likely to cheat.</w:t>
            </w:r>
          </w:p>
          <w:p>
            <w:pPr>
              <w:pStyle w:val="style179"/>
              <w:jc w:val="both"/>
              <w:rPr>
                <w:sz w:val="24"/>
                <w:szCs w:val="24"/>
              </w:rPr>
            </w:pPr>
            <w:r>
              <w:rPr>
                <w:sz w:val="24"/>
                <w:szCs w:val="24"/>
              </w:rPr>
              <w:t>(c) Being impulsive, easily distractible (when one’s attention diverts), impatient and selfishness are also key factors that contribute to people being deceptive, lie and cheat and the core</w:t>
            </w:r>
          </w:p>
          <w:p>
            <w:pPr>
              <w:pStyle w:val="style179"/>
              <w:jc w:val="both"/>
              <w:rPr>
                <w:sz w:val="24"/>
                <w:szCs w:val="24"/>
              </w:rPr>
            </w:pPr>
            <w:r>
              <w:rPr>
                <w:sz w:val="24"/>
                <w:szCs w:val="24"/>
              </w:rPr>
              <w:t>(d) If both the extrinsic and intrinsic values attached to a job and its positions are not encouraging enough, the employees are more prone to cheat, lie and deceive to obtaining advantage.</w:t>
            </w:r>
          </w:p>
          <w:p>
            <w:pPr>
              <w:pStyle w:val="style179"/>
              <w:jc w:val="both"/>
              <w:rPr>
                <w:sz w:val="24"/>
                <w:szCs w:val="24"/>
              </w:rPr>
            </w:pPr>
            <w:r>
              <w:rPr>
                <w:sz w:val="24"/>
                <w:szCs w:val="24"/>
              </w:rPr>
              <w:t>(e) Moreover, when there is a room or loophole for people to deceive, cheat or lie in an organization’s control mechanisms, it triggers people to act accordingly and also situation dependent indicators cannot be overlooked in an attempt to cheat, lie and or deceiv</w:t>
            </w:r>
            <w:r>
              <w:rPr>
                <w:i/>
                <w:sz w:val="24"/>
                <w:szCs w:val="24"/>
              </w:rPr>
              <w:t>e</w:t>
            </w:r>
          </w:p>
          <w:p>
            <w:pPr>
              <w:pStyle w:val="style179"/>
              <w:jc w:val="both"/>
              <w:rPr>
                <w:sz w:val="24"/>
                <w:szCs w:val="24"/>
              </w:rPr>
            </w:pPr>
            <w:r>
              <w:rPr>
                <w:sz w:val="24"/>
                <w:szCs w:val="24"/>
              </w:rPr>
              <w:t>(f) It is propounded by Gwynn Nettler that people of middle/upper class have a lower tendency to cheat. Intelligent people are more honest not to cheat, lie or deceive than ignorant people.  There are others who are also afraid of being caught, and suffer punishment and disgraced in society, have a low propensity to deceive, cheat or lie.l</w:t>
            </w:r>
          </w:p>
          <w:p>
            <w:pPr>
              <w:pStyle w:val="style179"/>
              <w:jc w:val="both"/>
              <w:rPr>
                <w:sz w:val="24"/>
                <w:szCs w:val="24"/>
              </w:rPr>
            </w:pPr>
            <w:r>
              <w:rPr>
                <w:sz w:val="24"/>
                <w:szCs w:val="24"/>
              </w:rPr>
              <w:t>(g) Finally, there a few variables contributing to the likelihood of people cheating. These variables personal, organizational and external.</w:t>
            </w:r>
          </w:p>
          <w:p>
            <w:pPr>
              <w:pStyle w:val="style179"/>
              <w:jc w:val="both"/>
              <w:rPr>
                <w:sz w:val="24"/>
                <w:szCs w:val="24"/>
              </w:rPr>
            </w:pPr>
          </w:p>
          <w:p>
            <w:pPr>
              <w:pStyle w:val="style0"/>
              <w:jc w:val="both"/>
              <w:rPr>
                <w:sz w:val="24"/>
                <w:szCs w:val="24"/>
              </w:rPr>
            </w:pPr>
            <w:r>
              <w:rPr>
                <w:sz w:val="24"/>
                <w:szCs w:val="24"/>
              </w:rPr>
              <w:t>vii. White – Collar Criminals – These are persons of high social status and respectability in their entity and commit financially motivated nonviolent crimes.  Normally in the group of business and government professionals; it is a direct and unavoidable result of competition. This type of crime committed is dependent on three (3) factors:</w:t>
            </w:r>
          </w:p>
          <w:p>
            <w:pPr>
              <w:pStyle w:val="style179"/>
              <w:jc w:val="both"/>
              <w:rPr>
                <w:sz w:val="24"/>
                <w:szCs w:val="24"/>
              </w:rPr>
            </w:pPr>
            <w:r>
              <w:rPr>
                <w:sz w:val="24"/>
                <w:szCs w:val="24"/>
              </w:rPr>
              <w:t>(a) A supply of motivated offenders</w:t>
            </w:r>
          </w:p>
          <w:p>
            <w:pPr>
              <w:pStyle w:val="style179"/>
              <w:jc w:val="both"/>
              <w:rPr>
                <w:sz w:val="24"/>
                <w:szCs w:val="24"/>
              </w:rPr>
            </w:pPr>
            <w:r>
              <w:rPr>
                <w:sz w:val="24"/>
                <w:szCs w:val="24"/>
              </w:rPr>
              <w:t>(b) The availability of suitable targets</w:t>
            </w:r>
          </w:p>
          <w:p>
            <w:pPr>
              <w:pStyle w:val="style179"/>
              <w:jc w:val="both"/>
              <w:rPr>
                <w:sz w:val="24"/>
                <w:szCs w:val="24"/>
              </w:rPr>
            </w:pPr>
            <w:r>
              <w:rPr>
                <w:sz w:val="24"/>
                <w:szCs w:val="24"/>
              </w:rPr>
              <w:t>(c) Absence of capable guidance-control system</w:t>
            </w:r>
          </w:p>
          <w:p>
            <w:pPr>
              <w:pStyle w:val="style0"/>
              <w:jc w:val="both"/>
              <w:rPr>
                <w:sz w:val="24"/>
                <w:szCs w:val="24"/>
              </w:rPr>
            </w:pPr>
            <w:r>
              <w:rPr>
                <w:sz w:val="24"/>
                <w:szCs w:val="24"/>
              </w:rPr>
              <w:t>The typical motivations that persuade a white – collar criminal committing fraud include the following;</w:t>
            </w:r>
          </w:p>
          <w:p>
            <w:pPr>
              <w:pStyle w:val="style179"/>
              <w:jc w:val="both"/>
              <w:rPr>
                <w:sz w:val="24"/>
                <w:szCs w:val="24"/>
              </w:rPr>
            </w:pPr>
            <w:r>
              <w:rPr>
                <w:sz w:val="24"/>
                <w:szCs w:val="24"/>
              </w:rPr>
              <w:t>(a) One must consider the three (3) present in the fraud triangle, i.e. pressure, opportunity and rationalization.</w:t>
            </w:r>
          </w:p>
          <w:p>
            <w:pPr>
              <w:pStyle w:val="style179"/>
              <w:jc w:val="both"/>
              <w:rPr>
                <w:sz w:val="24"/>
                <w:szCs w:val="24"/>
              </w:rPr>
            </w:pPr>
            <w:r>
              <w:rPr>
                <w:sz w:val="24"/>
                <w:szCs w:val="24"/>
              </w:rPr>
              <w:t>(b) The prospect of the employee loosing social and organizational status and reputation.</w:t>
            </w:r>
          </w:p>
          <w:p>
            <w:pPr>
              <w:pStyle w:val="style179"/>
              <w:jc w:val="both"/>
              <w:rPr>
                <w:sz w:val="24"/>
                <w:szCs w:val="24"/>
              </w:rPr>
            </w:pPr>
            <w:r>
              <w:rPr>
                <w:sz w:val="24"/>
                <w:szCs w:val="24"/>
              </w:rPr>
              <w:t xml:space="preserve">(c) Corporate culture – considering the norms, ethics and values of an organization. </w:t>
            </w:r>
          </w:p>
          <w:p>
            <w:pPr>
              <w:pStyle w:val="style179"/>
              <w:jc w:val="both"/>
              <w:rPr>
                <w:sz w:val="24"/>
                <w:szCs w:val="24"/>
              </w:rPr>
            </w:pPr>
            <w:r>
              <w:rPr>
                <w:sz w:val="24"/>
                <w:szCs w:val="24"/>
              </w:rPr>
              <w:t>(d) Where loyalty in an organization becomes collusion and team-playing also becomes a conspiracy, it influences ones’ intuitions to commit fraud.</w:t>
            </w:r>
          </w:p>
          <w:p>
            <w:pPr>
              <w:pStyle w:val="style179"/>
              <w:jc w:val="both"/>
              <w:rPr>
                <w:sz w:val="24"/>
                <w:szCs w:val="24"/>
              </w:rPr>
            </w:pPr>
            <w:r>
              <w:rPr>
                <w:sz w:val="24"/>
                <w:szCs w:val="24"/>
              </w:rPr>
              <w:t xml:space="preserve">(e) Trust gained from superiors, colleagues and employers enables an employee to commit fraud as a result of living conventional lives as well as maintaining one’s normal personality. </w:t>
            </w:r>
          </w:p>
          <w:p>
            <w:pPr>
              <w:pStyle w:val="style179"/>
              <w:jc w:val="both"/>
              <w:rPr>
                <w:sz w:val="24"/>
                <w:szCs w:val="24"/>
              </w:rPr>
            </w:pPr>
            <w:r>
              <w:rPr>
                <w:sz w:val="24"/>
                <w:szCs w:val="24"/>
              </w:rPr>
              <w:t>(f) When an act could be rationalized or justified, it motivates or increases white-collar crimes.</w:t>
            </w:r>
          </w:p>
          <w:p>
            <w:pPr>
              <w:pStyle w:val="style0"/>
              <w:jc w:val="both"/>
              <w:rPr>
                <w:sz w:val="24"/>
                <w:szCs w:val="24"/>
              </w:rPr>
            </w:pPr>
            <w:r>
              <w:rPr>
                <w:sz w:val="24"/>
                <w:szCs w:val="24"/>
              </w:rPr>
              <w:t>2.  White or Blue - Collar Criminals: These are persons of high social and organizational status and respectability. They are made up of professionals from government and business committing financially motivated non-violent crimes as a result of justifying their actions.  Their crimes are mostly committed based on the three (3) conditions found in the fraud triangle, namely; pressure, opportunities and rationalization.</w:t>
            </w:r>
          </w:p>
          <w:p>
            <w:pPr>
              <w:pStyle w:val="style0"/>
              <w:jc w:val="both"/>
              <w:rPr>
                <w:sz w:val="24"/>
                <w:szCs w:val="24"/>
              </w:rPr>
            </w:pPr>
          </w:p>
          <w:p>
            <w:pPr>
              <w:pStyle w:val="style0"/>
              <w:jc w:val="both"/>
              <w:rPr>
                <w:sz w:val="24"/>
                <w:szCs w:val="24"/>
              </w:rPr>
            </w:pPr>
            <w:r>
              <w:rPr>
                <w:sz w:val="24"/>
                <w:szCs w:val="24"/>
              </w:rPr>
              <w:t>They are people of above-average intelligence, psychologically healthy (skeptical) in their decision making relating to committing the crime.  They maintain the appearance if having a stable family and have above-average education in order to command those organizational and societal respect.  Such criminals are less likely to possess a proven criminal track records and at least at the age of 30years and beyond thus allowing them to hold positions of trust in an entity.</w:t>
            </w:r>
          </w:p>
          <w:p>
            <w:pPr>
              <w:pStyle w:val="style0"/>
              <w:jc w:val="both"/>
              <w:rPr>
                <w:sz w:val="24"/>
                <w:szCs w:val="24"/>
              </w:rPr>
            </w:pPr>
            <w:r>
              <w:rPr>
                <w:sz w:val="24"/>
                <w:szCs w:val="24"/>
              </w:rPr>
              <w:t>They are the persons who do not lack detailed knowledge in accounting, finance and audit systems and having studied the weaknesses in those systems, take advantage in committing their crime.  The organizational and societal respects for those persons urge them not to commit non-violent crimes thus the intent of their crime is not to harm individuals and cause damage to properties but they have the intention to deceive at the core professionally.   The actions of white or blue –collar criminals result in huge financial crimes to their employing entities though they are few but their financial loss is huge.</w:t>
            </w:r>
          </w:p>
          <w:p>
            <w:pPr>
              <w:pStyle w:val="style0"/>
              <w:jc w:val="both"/>
              <w:rPr>
                <w:sz w:val="24"/>
                <w:szCs w:val="24"/>
              </w:rPr>
            </w:pPr>
            <w:r>
              <w:rPr>
                <w:sz w:val="24"/>
                <w:szCs w:val="24"/>
              </w:rPr>
              <w:t xml:space="preserve">Whereas the Typical Street Criminals are just the opposite of white or blue – collar criminals, their intention is to harm individuals and cause damage to lives and properties.  They are mostly regarded by the society to be violent, possessing proven criminal track records, having low – average intelligence and education. </w:t>
            </w:r>
          </w:p>
          <w:p>
            <w:pPr>
              <w:pStyle w:val="style0"/>
              <w:jc w:val="both"/>
              <w:rPr>
                <w:sz w:val="24"/>
                <w:szCs w:val="24"/>
              </w:rPr>
            </w:pPr>
            <w:r>
              <w:rPr>
                <w:sz w:val="24"/>
                <w:szCs w:val="24"/>
              </w:rPr>
              <w:t>Typical street criminals possess guns and other robbery materials, i.e. they are fully armed with the intention to harm individuals, causing damage to properties and lives whilst discharging their functions. They develop strategies and tactics as and when they are performing their acts in order to be successful in every operation that they carry out.  Some of them are school drop-outs, lacking parental control and apprenticeship training and skills.</w:t>
            </w:r>
          </w:p>
          <w:p>
            <w:pPr>
              <w:pStyle w:val="style0"/>
              <w:jc w:val="both"/>
              <w:rPr>
                <w:sz w:val="24"/>
                <w:szCs w:val="24"/>
              </w:rPr>
            </w:pPr>
            <w:r>
              <w:rPr>
                <w:sz w:val="24"/>
                <w:szCs w:val="24"/>
              </w:rPr>
              <w:t>Unlike white or blue – collar criminals whose actions are one off and not a continuous process, Typical street criminals are on routine activities.  The financial loss incurred from the unusual transactions of white – collar criminals are huge as compared to typical street criminals. Typical criminals end up peoples’ lives and destroy properties.</w:t>
            </w:r>
          </w:p>
          <w:p>
            <w:pPr>
              <w:pStyle w:val="style0"/>
              <w:jc w:val="both"/>
              <w:rPr>
                <w:sz w:val="24"/>
                <w:szCs w:val="24"/>
              </w:rPr>
            </w:pPr>
            <w:r>
              <w:rPr>
                <w:sz w:val="24"/>
                <w:szCs w:val="24"/>
              </w:rPr>
              <w:t xml:space="preserve">3. Fraud can be defined as an act of using deception schemes, an intentional concealment, forgery, data and falsification and lying, omission and or perversion of truth to gain unlawful advantage.  Organizational fraud could also mean that using one’s organization for personal enrichment through the deliberate misuse or misapplication of the employing entities resources or assets. </w:t>
            </w:r>
          </w:p>
          <w:p>
            <w:pPr>
              <w:pStyle w:val="style0"/>
              <w:jc w:val="both"/>
              <w:rPr>
                <w:sz w:val="24"/>
                <w:szCs w:val="24"/>
              </w:rPr>
            </w:pPr>
            <w:r>
              <w:rPr>
                <w:sz w:val="24"/>
                <w:szCs w:val="24"/>
              </w:rPr>
              <w:t xml:space="preserve">Fraud is said to exist when these three (3) conditions are met according to the fraud triangle; pressure, opportunity and rationalization. </w:t>
            </w:r>
          </w:p>
          <w:p>
            <w:pPr>
              <w:pStyle w:val="style0"/>
              <w:jc w:val="both"/>
              <w:rPr>
                <w:sz w:val="24"/>
                <w:szCs w:val="24"/>
              </w:rPr>
            </w:pPr>
          </w:p>
          <w:p>
            <w:pPr>
              <w:pStyle w:val="style0"/>
              <w:jc w:val="both"/>
              <w:rPr>
                <w:sz w:val="24"/>
                <w:szCs w:val="24"/>
              </w:rPr>
            </w:pPr>
          </w:p>
          <w:p>
            <w:pPr>
              <w:pStyle w:val="style0"/>
              <w:jc w:val="both"/>
              <w:rPr>
                <w:sz w:val="24"/>
                <w:szCs w:val="24"/>
              </w:rPr>
            </w:pPr>
            <w:r>
              <w:rPr>
                <w:sz w:val="24"/>
                <w:szCs w:val="24"/>
              </w:rPr>
              <w:t>Organizations that have no controls, no trust, no ethical values, no profits a</w:t>
            </w:r>
            <w:r>
              <w:rPr>
                <w:sz w:val="24"/>
                <w:szCs w:val="24"/>
              </w:rPr>
              <w:t>n</w:t>
            </w:r>
            <w:r>
              <w:rPr>
                <w:sz w:val="24"/>
                <w:szCs w:val="24"/>
              </w:rPr>
              <w:t xml:space="preserve">d </w:t>
            </w:r>
            <w:r>
              <w:rPr>
                <w:sz w:val="24"/>
                <w:szCs w:val="24"/>
              </w:rPr>
              <w:t xml:space="preserve">prospects, yes, fraud is most common.  When there are no control mechanisms or even if there is, but weak, it gives the employees the opportunity to commit fraud regularly; this is due to the fact that the activities of the employees are not supervised and punished accordingly. </w:t>
            </w:r>
          </w:p>
          <w:p>
            <w:pPr>
              <w:pStyle w:val="style0"/>
              <w:jc w:val="both"/>
              <w:rPr>
                <w:sz w:val="24"/>
                <w:szCs w:val="24"/>
              </w:rPr>
            </w:pPr>
            <w:r>
              <w:rPr>
                <w:sz w:val="24"/>
                <w:szCs w:val="24"/>
              </w:rPr>
              <w:t xml:space="preserve">Trust and Ethical Values are part of the integrity, objectivity and professional behavior being crusaded in the Code of Ethics and Conduct by the International Ethics Standard Board for Accountants (IESBA –CODE OF ETHICS AND CONDUCT).  In the absence of such guiding principles in an organization, fraud is most witnessed because the actions of the employees are always rationalized or justified even if they are committing the crime. Fraud also becomes an organizational norm and practice inculcated in its employees because they are not punishable by the organization’s rules and regulations.  </w:t>
            </w:r>
          </w:p>
          <w:p>
            <w:pPr>
              <w:pStyle w:val="style0"/>
              <w:jc w:val="both"/>
              <w:rPr>
                <w:sz w:val="24"/>
                <w:szCs w:val="24"/>
              </w:rPr>
            </w:pPr>
            <w:r>
              <w:rPr>
                <w:sz w:val="24"/>
                <w:szCs w:val="24"/>
              </w:rPr>
              <w:t>An organization that has neither prospects nor profit has no going concern status and so cannot operate into the foreseeable future. Significant doubt is cast on the survival of such an organization because it cannot sustain a competitive industry. If such an organization is meant to survive in a competitive environment, then it must engage itself in money laundering activities so that it can generate money to meet its expenditure. Lacking profits and prospects means an entity is not legally registered and has no legal business objective for its existence.</w:t>
            </w:r>
          </w:p>
          <w:p>
            <w:pPr>
              <w:pStyle w:val="style0"/>
              <w:jc w:val="both"/>
              <w:rPr>
                <w:sz w:val="24"/>
                <w:szCs w:val="24"/>
              </w:rPr>
            </w:pPr>
            <w:r>
              <w:rPr>
                <w:sz w:val="24"/>
                <w:szCs w:val="24"/>
              </w:rPr>
              <w:t>Finally, when an organization lacks controls, trust and ethical values, profits and prospects, fraud is most common because its doors are opened to who could be honest to commit fraud hence there are no clearly defined preventive, corrective and deterrent measures to punish perpetrators of crime.</w:t>
            </w:r>
          </w:p>
          <w:p>
            <w:pPr>
              <w:pStyle w:val="style0"/>
              <w:jc w:val="both"/>
              <w:rPr>
                <w:sz w:val="24"/>
                <w:szCs w:val="24"/>
              </w:rPr>
            </w:pPr>
          </w:p>
          <w:p>
            <w:pPr>
              <w:pStyle w:val="style0"/>
              <w:jc w:val="both"/>
              <w:rPr>
                <w:sz w:val="24"/>
                <w:szCs w:val="24"/>
              </w:rPr>
            </w:pPr>
          </w:p>
          <w:p>
            <w:pPr>
              <w:pStyle w:val="style0"/>
              <w:jc w:val="left"/>
              <w:rPr>
                <w:sz w:val="24"/>
                <w:szCs w:val="24"/>
              </w:rPr>
            </w:pPr>
          </w:p>
          <w:p>
            <w:pPr>
              <w:pStyle w:val="style0"/>
              <w:jc w:val="center"/>
              <w:rPr>
                <w:b/>
                <w:sz w:val="24"/>
                <w:szCs w:val="24"/>
              </w:rPr>
            </w:pPr>
            <w:r>
              <w:rPr>
                <w:b/>
                <w:sz w:val="24"/>
                <w:szCs w:val="24"/>
              </w:rPr>
              <w:t xml:space="preserve">                           </w:t>
            </w:r>
          </w:p>
          <w:p>
            <w:pPr>
              <w:pStyle w:val="style0"/>
              <w:jc w:val="center"/>
              <w:rPr>
                <w:b/>
                <w:sz w:val="24"/>
                <w:szCs w:val="24"/>
              </w:rPr>
            </w:pPr>
          </w:p>
          <w:p>
            <w:pPr>
              <w:pStyle w:val="style0"/>
              <w:jc w:val="center"/>
              <w:rPr>
                <w:b/>
                <w:sz w:val="24"/>
                <w:szCs w:val="24"/>
              </w:rPr>
            </w:pPr>
          </w:p>
          <w:p>
            <w:pPr>
              <w:pStyle w:val="style0"/>
              <w:jc w:val="center"/>
              <w:rPr>
                <w:b/>
                <w:sz w:val="24"/>
                <w:szCs w:val="24"/>
              </w:rPr>
            </w:pPr>
          </w:p>
          <w:p>
            <w:pPr>
              <w:pStyle w:val="style0"/>
              <w:jc w:val="center"/>
              <w:rPr>
                <w:b/>
                <w:sz w:val="24"/>
                <w:szCs w:val="24"/>
              </w:rPr>
            </w:pPr>
          </w:p>
          <w:p>
            <w:pPr>
              <w:pStyle w:val="style0"/>
              <w:jc w:val="center"/>
              <w:rPr>
                <w:b/>
                <w:sz w:val="24"/>
                <w:szCs w:val="24"/>
              </w:rPr>
            </w:pPr>
          </w:p>
          <w:p>
            <w:pPr>
              <w:pStyle w:val="style0"/>
              <w:jc w:val="center"/>
              <w:rPr>
                <w:sz w:val="24"/>
                <w:szCs w:val="24"/>
              </w:rPr>
            </w:pPr>
            <w:r>
              <w:rPr>
                <w:b/>
                <w:sz w:val="24"/>
                <w:szCs w:val="24"/>
              </w:rPr>
              <w:t xml:space="preserve">  CASE STUDY</w:t>
            </w:r>
          </w:p>
          <w:p>
            <w:pPr>
              <w:pStyle w:val="style179"/>
              <w:jc w:val="both"/>
              <w:rPr>
                <w:sz w:val="24"/>
                <w:szCs w:val="24"/>
              </w:rPr>
            </w:pPr>
            <w:r>
              <w:rPr>
                <w:sz w:val="24"/>
                <w:szCs w:val="24"/>
              </w:rPr>
              <w:t xml:space="preserve">1. Per the given scenario, the trader had legally not established any business with that objective; the trader had no skills; i.e. being professionally incompetent to undertake that job with respect to the trading objective. Moreover, the trader used photographs and pictures of another company (fictitious company was created) to deceive the customers so the trader has committed a crime. The type of crime committed is </w:t>
            </w:r>
            <w:r>
              <w:rPr>
                <w:b/>
                <w:sz w:val="24"/>
                <w:szCs w:val="24"/>
              </w:rPr>
              <w:t>scam and cyber fraud</w:t>
            </w:r>
            <w:r>
              <w:rPr>
                <w:sz w:val="24"/>
                <w:szCs w:val="24"/>
              </w:rPr>
              <w:t xml:space="preserve"> since the transactions with respect to the trading (sale) was through the internet.</w:t>
            </w:r>
          </w:p>
          <w:p>
            <w:pPr>
              <w:pStyle w:val="style0"/>
              <w:jc w:val="both"/>
              <w:rPr>
                <w:sz w:val="24"/>
                <w:szCs w:val="24"/>
              </w:rPr>
            </w:pPr>
          </w:p>
          <w:p>
            <w:pPr>
              <w:pStyle w:val="style179"/>
              <w:jc w:val="both"/>
              <w:rPr>
                <w:sz w:val="24"/>
                <w:szCs w:val="24"/>
              </w:rPr>
            </w:pPr>
            <w:r>
              <w:rPr>
                <w:sz w:val="24"/>
                <w:szCs w:val="24"/>
              </w:rPr>
              <w:t>2. The forensic expert can investigate the case properly when the trader could have sold the good without generating any invoice or cash by the following procedure;</w:t>
            </w:r>
          </w:p>
          <w:p>
            <w:pPr>
              <w:pStyle w:val="style179"/>
              <w:jc w:val="both"/>
              <w:rPr>
                <w:sz w:val="24"/>
                <w:szCs w:val="24"/>
              </w:rPr>
            </w:pPr>
            <w:r>
              <w:rPr>
                <w:sz w:val="24"/>
                <w:szCs w:val="24"/>
              </w:rPr>
              <w:t>(i) Requesting for the trader’s statement of credit card transactions from the trader’s bankers since the sale was done through the internet and check whether any monies have been paid into the traders account with respect to the sale of the goods</w:t>
            </w:r>
          </w:p>
          <w:p>
            <w:pPr>
              <w:pStyle w:val="style179"/>
              <w:jc w:val="both"/>
              <w:rPr>
                <w:sz w:val="24"/>
                <w:szCs w:val="24"/>
              </w:rPr>
            </w:pPr>
            <w:r>
              <w:rPr>
                <w:sz w:val="24"/>
                <w:szCs w:val="24"/>
              </w:rPr>
              <w:t xml:space="preserve">(ii) Accessing the electronic mails of the trader with respect to any communication and documentation that took place prior to the sales. </w:t>
            </w:r>
          </w:p>
          <w:p>
            <w:pPr>
              <w:pStyle w:val="style179"/>
              <w:jc w:val="both"/>
              <w:rPr>
                <w:sz w:val="24"/>
                <w:szCs w:val="24"/>
              </w:rPr>
            </w:pPr>
            <w:r>
              <w:rPr>
                <w:sz w:val="24"/>
                <w:szCs w:val="24"/>
              </w:rPr>
              <w:t>(iii) Enquiring from the registrar of companies whether the trader is legally registered with that business objective.</w:t>
            </w:r>
          </w:p>
          <w:p>
            <w:pPr>
              <w:pStyle w:val="style179"/>
              <w:jc w:val="both"/>
              <w:rPr>
                <w:sz w:val="24"/>
                <w:szCs w:val="24"/>
              </w:rPr>
            </w:pPr>
            <w:r>
              <w:rPr>
                <w:sz w:val="24"/>
                <w:szCs w:val="24"/>
              </w:rPr>
              <w:t>(iv) Obtain and inspect whether the trader used an invoice of a legally registered company with that business objective to undertake the sale.</w:t>
            </w:r>
          </w:p>
          <w:p>
            <w:pPr>
              <w:pStyle w:val="style0"/>
              <w:rPr>
                <w:b/>
                <w:sz w:val="24"/>
                <w:szCs w:val="24"/>
              </w:rPr>
            </w:pPr>
            <w:r>
              <w:rPr>
                <w:sz w:val="24"/>
                <w:szCs w:val="24"/>
              </w:rPr>
              <w:t xml:space="preserve">             </w:t>
            </w:r>
            <w:r>
              <w:rPr>
                <w:sz w:val="24"/>
                <w:szCs w:val="24"/>
              </w:rPr>
              <w:t>(v) Check the background of the trader whether there has been a proven track</w:t>
            </w:r>
            <w:r>
              <w:rPr>
                <w:sz w:val="24"/>
                <w:szCs w:val="24"/>
              </w:rPr>
              <w:t xml:space="preserve"> </w:t>
            </w:r>
            <w:r>
              <w:rPr>
                <w:sz w:val="24"/>
                <w:szCs w:val="24"/>
              </w:rPr>
              <w:t xml:space="preserve">record of hacking into the websites of similarly registered companies and if it was used as </w:t>
            </w:r>
            <w:r>
              <w:rPr>
                <w:sz w:val="24"/>
                <w:szCs w:val="24"/>
              </w:rPr>
              <w:t>such.</w:t>
            </w:r>
            <w:r>
              <w:rPr>
                <w:sz w:val="24"/>
                <w:szCs w:val="24"/>
              </w:rPr>
              <w:t xml:space="preserve">            </w:t>
            </w:r>
          </w:p>
        </w:tc>
      </w:tr>
    </w:tbl>
    <w:p>
      <w:pPr>
        <w:pStyle w:val="style0"/>
        <w:autoSpaceDE w:val="false"/>
        <w:autoSpaceDN w:val="false"/>
        <w:adjustRightInd w:val="false"/>
        <w:spacing w:after="0" w:lineRule="auto" w:line="240"/>
        <w:rPr>
          <w:rFonts w:cs="CalvertMT-Bold"/>
          <w:b/>
          <w:bCs/>
          <w:color w:val="002060"/>
          <w:sz w:val="28"/>
          <w:lang w:val="en-US"/>
        </w:rPr>
      </w:pPr>
    </w:p>
    <w:p>
      <w:pPr>
        <w:pStyle w:val="style0"/>
        <w:autoSpaceDE w:val="false"/>
        <w:autoSpaceDN w:val="false"/>
        <w:adjustRightInd w:val="false"/>
        <w:spacing w:after="0" w:lineRule="auto" w:line="240"/>
        <w:rPr>
          <w:rFonts w:cs="CalvertMT-Bold"/>
          <w:b/>
          <w:bCs/>
          <w:color w:val="002060"/>
          <w:sz w:val="28"/>
          <w:lang w:val="en-US"/>
        </w:rPr>
      </w:pPr>
      <w:r>
        <w:rPr>
          <w:rFonts w:cs="CalvertMT-Bold"/>
          <w:b/>
          <w:bCs/>
          <w:color w:val="002060"/>
          <w:sz w:val="28"/>
          <w:lang w:val="en-US"/>
        </w:rPr>
        <w:t>Student</w:t>
      </w:r>
      <w:r>
        <w:rPr>
          <w:rFonts w:cs="CalvertMT-Bold"/>
          <w:b/>
          <w:bCs/>
          <w:color w:val="002060"/>
          <w:sz w:val="28"/>
          <w:lang w:val="en-US"/>
        </w:rPr>
        <w:t xml:space="preserve"> Statement:</w:t>
      </w:r>
    </w:p>
    <w:p>
      <w:pPr>
        <w:pStyle w:val="style0"/>
        <w:autoSpaceDE w:val="false"/>
        <w:autoSpaceDN w:val="false"/>
        <w:adjustRightInd w:val="false"/>
        <w:spacing w:after="0" w:lineRule="auto" w:line="240"/>
        <w:rPr>
          <w:rFonts w:cs="CalvertMT-Bold"/>
          <w:b/>
          <w:bCs/>
          <w:color w:val="001ae6"/>
          <w:lang w:val="en-US"/>
        </w:rPr>
      </w:pPr>
    </w:p>
    <w:p>
      <w:pPr>
        <w:pStyle w:val="style0"/>
        <w:autoSpaceDE w:val="false"/>
        <w:autoSpaceDN w:val="false"/>
        <w:adjustRightInd w:val="false"/>
        <w:spacing w:after="0" w:lineRule="auto" w:line="240"/>
        <w:rPr>
          <w:rFonts w:cs="Bliss-Regular"/>
          <w:color w:val="000000"/>
          <w:lang w:val="en-US"/>
        </w:rPr>
      </w:pPr>
      <w:r>
        <w:rPr>
          <w:rFonts w:cs="Bliss-Regular"/>
          <w:color w:val="000000"/>
          <w:lang w:val="en-US"/>
        </w:rPr>
        <w:t>By submitting this assignment, I confirm that this is my own work.</w:t>
      </w:r>
    </w:p>
    <w:p>
      <w:pPr>
        <w:pStyle w:val="style0"/>
        <w:autoSpaceDE w:val="false"/>
        <w:autoSpaceDN w:val="false"/>
        <w:adjustRightInd w:val="false"/>
        <w:spacing w:after="0" w:lineRule="auto" w:line="240"/>
        <w:rPr>
          <w:rFonts w:cs="Bliss-Regular"/>
          <w:color w:val="000000"/>
          <w:lang w:val="en-US"/>
        </w:rPr>
      </w:pPr>
    </w:p>
    <w:p>
      <w:pPr>
        <w:pStyle w:val="style0"/>
        <w:autoSpaceDE w:val="false"/>
        <w:autoSpaceDN w:val="false"/>
        <w:adjustRightInd w:val="false"/>
        <w:spacing w:after="0" w:lineRule="auto" w:line="240"/>
        <w:rPr>
          <w:rFonts w:cs="Bliss-Regular"/>
          <w:color w:val="000000"/>
          <w:lang w:val="en-US"/>
        </w:rPr>
      </w:pPr>
    </w:p>
    <w:p>
      <w:pPr>
        <w:pStyle w:val="style0"/>
        <w:autoSpaceDE w:val="false"/>
        <w:autoSpaceDN w:val="false"/>
        <w:adjustRightInd w:val="false"/>
        <w:spacing w:after="0" w:lineRule="auto" w:line="240"/>
        <w:rPr>
          <w:rFonts w:cs="Bliss-Regular"/>
          <w:color w:val="000000"/>
          <w:lang w:val="en-US"/>
        </w:rPr>
      </w:pPr>
    </w:p>
    <w:tbl>
      <w:tblPr>
        <w:tblStyle w:val="style154"/>
        <w:tblW w:w="0" w:type="auto"/>
        <w:tblLook w:val="04A0" w:firstRow="1" w:lastRow="0" w:firstColumn="1" w:lastColumn="0" w:noHBand="0" w:noVBand="1"/>
      </w:tblPr>
      <w:tblGrid>
        <w:gridCol w:w="2310"/>
        <w:gridCol w:w="4035"/>
        <w:gridCol w:w="1276"/>
        <w:gridCol w:w="1621"/>
      </w:tblGrid>
      <w:tr>
        <w:trPr/>
        <w:tc>
          <w:tcPr>
            <w:tcW w:w="2310" w:type="dxa"/>
            <w:tcBorders/>
            <w:shd w:val="clear" w:color="auto" w:fill="d9d9d9"/>
            <w:tcFitText w:val="false"/>
          </w:tcPr>
          <w:p>
            <w:pPr>
              <w:pStyle w:val="style0"/>
              <w:rPr>
                <w:rFonts w:cs="Bliss-Regular"/>
                <w:color w:val="000000"/>
              </w:rPr>
            </w:pPr>
            <w:r>
              <w:rPr>
                <w:rFonts w:cs="Bliss-Regular"/>
                <w:color w:val="000000"/>
              </w:rPr>
              <w:t>Student Signature</w:t>
            </w:r>
          </w:p>
        </w:tc>
        <w:tc>
          <w:tcPr>
            <w:tcW w:w="4035" w:type="dxa"/>
            <w:tcBorders/>
            <w:tcFitText w:val="false"/>
          </w:tcPr>
          <w:p>
            <w:pPr>
              <w:pStyle w:val="style0"/>
              <w:rPr>
                <w:rFonts w:cs="Bliss-Regular"/>
                <w:color w:val="000000"/>
              </w:rPr>
            </w:pPr>
          </w:p>
          <w:p>
            <w:pPr>
              <w:pStyle w:val="style0"/>
              <w:rPr>
                <w:rFonts w:cs="Bliss-Regular"/>
                <w:color w:val="000000"/>
              </w:rPr>
            </w:pPr>
            <w:r>
              <w:rPr>
                <w:rFonts w:cs="Bliss-Regular"/>
                <w:color w:val="000000"/>
              </w:rPr>
              <w:t>Effah Eugene Tannor</w:t>
            </w:r>
          </w:p>
        </w:tc>
        <w:tc>
          <w:tcPr>
            <w:tcW w:w="1276" w:type="dxa"/>
            <w:tcBorders/>
            <w:shd w:val="clear" w:color="auto" w:fill="d9d9d9"/>
            <w:tcFitText w:val="false"/>
          </w:tcPr>
          <w:p>
            <w:pPr>
              <w:pStyle w:val="style0"/>
              <w:rPr>
                <w:rFonts w:cs="Bliss-Regular"/>
                <w:color w:val="000000"/>
              </w:rPr>
            </w:pPr>
            <w:r>
              <w:rPr>
                <w:rFonts w:cs="Bliss-Regular"/>
                <w:color w:val="000000"/>
              </w:rPr>
              <w:t>Date</w:t>
            </w:r>
          </w:p>
        </w:tc>
        <w:tc>
          <w:tcPr>
            <w:tcW w:w="1621" w:type="dxa"/>
            <w:tcBorders/>
            <w:tcFitText w:val="false"/>
          </w:tcPr>
          <w:p>
            <w:pPr>
              <w:pStyle w:val="style0"/>
              <w:numPr>
                <w:ilvl w:val="0"/>
                <w:numId w:val="0"/>
              </w:numPr>
              <w:rPr>
                <w:rFonts w:cs="Bliss-Regular"/>
                <w:color w:val="000000"/>
              </w:rPr>
            </w:pPr>
            <w:r>
              <w:rPr>
                <w:rFonts w:cs="Bliss-Regular"/>
                <w:color w:val="000000"/>
              </w:rPr>
              <w:t xml:space="preserve"> </w:t>
            </w:r>
            <w:r>
              <w:rPr>
                <w:rFonts w:cs="Bliss-Regular"/>
                <w:color w:val="000000"/>
              </w:rPr>
              <w:t xml:space="preserve">21st November, </w:t>
            </w:r>
            <w:r>
              <w:rPr>
                <w:rFonts w:cs="Bliss-Regular"/>
                <w:color w:val="000000"/>
              </w:rPr>
              <w:t>2016.</w:t>
            </w:r>
          </w:p>
        </w:tc>
      </w:tr>
    </w:tbl>
    <w:p>
      <w:pPr>
        <w:pStyle w:val="style0"/>
        <w:rPr>
          <w:rFonts w:cs="Bliss-Regular"/>
          <w:color w:val="000000"/>
          <w:lang w:val="en-US"/>
        </w:rPr>
      </w:pPr>
    </w:p>
    <w:p>
      <w:pPr>
        <w:pStyle w:val="style0"/>
        <w:rPr>
          <w:rFonts w:cs="Bliss-Regular"/>
          <w:color w:val="000000"/>
          <w:lang w:val="en-US"/>
        </w:rPr>
      </w:pPr>
    </w:p>
    <w:p>
      <w:pPr>
        <w:pStyle w:val="style0"/>
        <w:shd w:val="clear" w:color="auto" w:fill="d9d9d9"/>
        <w:rPr>
          <w:b/>
          <w:sz w:val="32"/>
          <w:lang w:val="en-US"/>
        </w:rPr>
      </w:pPr>
      <w:r>
        <w:rPr>
          <w:b/>
          <w:sz w:val="28"/>
          <w:lang w:val="en-US"/>
        </w:rPr>
        <w:t>For Tutor / Assessor Use Only</w:t>
      </w:r>
    </w:p>
    <w:tbl>
      <w:tblPr>
        <w:tblStyle w:val="style154"/>
        <w:tblW w:w="0" w:type="auto"/>
        <w:tblLook w:val="04A0" w:firstRow="1" w:lastRow="0" w:firstColumn="1" w:lastColumn="0" w:noHBand="0" w:noVBand="1"/>
      </w:tblPr>
      <w:tblGrid>
        <w:gridCol w:w="4621"/>
        <w:gridCol w:w="4621"/>
      </w:tblGrid>
      <w:tr>
        <w:trPr>
          <w:trHeight w:val="249" w:hRule="atLeast"/>
        </w:trPr>
        <w:tc>
          <w:tcPr>
            <w:tcW w:w="4621" w:type="dxa"/>
            <w:tcBorders/>
            <w:shd w:val="clear" w:color="auto" w:fill="d9d9d9"/>
            <w:tcFitText w:val="false"/>
          </w:tcPr>
          <w:p>
            <w:pPr>
              <w:pStyle w:val="style0"/>
              <w:rPr>
                <w:b/>
                <w:color w:val="002060"/>
              </w:rPr>
            </w:pPr>
            <w:r>
              <w:rPr>
                <w:b/>
                <w:color w:val="002060"/>
              </w:rPr>
              <w:t>Total Marks</w:t>
            </w:r>
          </w:p>
        </w:tc>
        <w:tc>
          <w:tcPr>
            <w:tcW w:w="4621" w:type="dxa"/>
            <w:tcBorders/>
            <w:tcFitText w:val="false"/>
          </w:tcPr>
          <w:p>
            <w:pPr>
              <w:pStyle w:val="style0"/>
              <w:rPr>
                <w:rFonts w:cs="Times New Roman"/>
                <w:szCs w:val="32"/>
              </w:rPr>
            </w:pPr>
          </w:p>
        </w:tc>
      </w:tr>
      <w:tr>
        <w:tblPrEx/>
        <w:trPr/>
        <w:tc>
          <w:tcPr>
            <w:tcW w:w="4621" w:type="dxa"/>
            <w:tcBorders/>
            <w:shd w:val="clear" w:color="auto" w:fill="d9d9d9"/>
            <w:tcFitText w:val="false"/>
          </w:tcPr>
          <w:p>
            <w:pPr>
              <w:pStyle w:val="style0"/>
              <w:rPr>
                <w:b/>
                <w:color w:val="002060"/>
              </w:rPr>
            </w:pPr>
            <w:r>
              <w:rPr>
                <w:b/>
                <w:color w:val="002060"/>
              </w:rPr>
              <w:t>Marks Obtained</w:t>
            </w:r>
          </w:p>
        </w:tc>
        <w:tc>
          <w:tcPr>
            <w:tcW w:w="4621" w:type="dxa"/>
            <w:tcBorders/>
            <w:tcFitText w:val="false"/>
          </w:tcPr>
          <w:p>
            <w:pPr>
              <w:pStyle w:val="style0"/>
              <w:rPr>
                <w:rFonts w:cs="Times New Roman"/>
                <w:szCs w:val="32"/>
              </w:rPr>
            </w:pPr>
          </w:p>
        </w:tc>
      </w:tr>
      <w:tr>
        <w:tblPrEx/>
        <w:trPr/>
        <w:tc>
          <w:tcPr>
            <w:tcW w:w="4621" w:type="dxa"/>
            <w:tcBorders/>
            <w:shd w:val="clear" w:color="auto" w:fill="d9d9d9"/>
            <w:tcFitText w:val="false"/>
          </w:tcPr>
          <w:p>
            <w:pPr>
              <w:pStyle w:val="style0"/>
              <w:rPr>
                <w:b/>
                <w:color w:val="002060"/>
              </w:rPr>
            </w:pPr>
            <w:r>
              <w:rPr>
                <w:b/>
                <w:color w:val="002060"/>
              </w:rPr>
              <w:t>Percentage / Grade</w:t>
            </w:r>
          </w:p>
        </w:tc>
        <w:tc>
          <w:tcPr>
            <w:tcW w:w="4621" w:type="dxa"/>
            <w:tcBorders/>
            <w:tcFitText w:val="false"/>
          </w:tcPr>
          <w:p>
            <w:pPr>
              <w:pStyle w:val="style0"/>
              <w:rPr>
                <w:rFonts w:cs="Times New Roman"/>
                <w:szCs w:val="32"/>
              </w:rPr>
            </w:pPr>
          </w:p>
        </w:tc>
      </w:tr>
    </w:tbl>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AFF" w:usb1="C0007841" w:usb2="00000009" w:usb3="00000000" w:csb0="000001FF" w:csb1="00000000"/>
  </w:font>
  <w:font w:name="Calibri">
    <w:altName w:val="Calibri"/>
    <w:panose1 w:val="020f0502020000030204"/>
    <w:charset w:val="00"/>
    <w:family w:val="swiss"/>
    <w:pitch w:val="variable"/>
    <w:sig w:usb0="E10002FF" w:usb1="4000ACFF" w:usb2="00000009" w:usb3="00000000" w:csb0="0000019F" w:csb1="00000000"/>
  </w:font>
  <w:font w:name="Tahoma">
    <w:altName w:val="Tahoma"/>
    <w:panose1 w:val="020b0604030000040204"/>
    <w:charset w:val="00"/>
    <w:family w:val="swiss"/>
    <w:pitch w:val="variable"/>
    <w:sig w:usb0="00000003" w:usb1="00000000" w:usb2="00000000" w:usb3="00000000" w:csb0="00000001" w:csb1="00000000"/>
  </w:font>
  <w:font w:name="Arial">
    <w:altName w:val="Arial"/>
    <w:panose1 w:val="020b0604020000020204"/>
    <w:charset w:val="00"/>
    <w:family w:val="swiss"/>
    <w:pitch w:val="variable"/>
    <w:sig w:usb0="E0002AFF" w:usb1="C0007843" w:usb2="00000009" w:usb3="00000000" w:csb0="000001FF" w:csb1="00000000"/>
  </w:font>
  <w:font w:name="CalvertMT-Bold">
    <w:altName w:val="CalvertMT-Bold"/>
    <w:panose1 w:val="00000000000000000000"/>
    <w:charset w:val="00"/>
    <w:family w:val="roman"/>
    <w:pitch w:val="default"/>
    <w:sig w:usb0="00000003" w:usb1="00000000" w:usb2="00000000" w:usb3="00000000" w:csb0="00000001" w:csb1="00000000"/>
  </w:font>
  <w:font w:name="Bliss-Regular">
    <w:altName w:val="Bliss-Regular"/>
    <w:panose1 w:val="00000000000000000000"/>
    <w:charset w:val="00"/>
    <w:family w:val="swiss"/>
    <w:pitch w:val="default"/>
    <w:sig w:usb0="00000003" w:usb1="00000000" w:usb2="00000000" w:usb3="00000000" w:csb0="00000001"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7a45019c-fad0-47eb-8018-8fb27273b52b"/>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7b2001f5-0b11-48fa-8b09-220b91148718"/>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rFonts w:ascii="Calibri" w:cs="Times New Roman" w:eastAsia="Calibri" w:hAnsi="Calibri"/>
      <w:lang w:val="en-US"/>
    </w:rPr>
  </w:style>
  <w:style w:type="paragraph" w:customStyle="1" w:styleId="style4100">
    <w:name w:val="Default"/>
    <w:next w:val="style4100"/>
    <w:pPr>
      <w:autoSpaceDE w:val="false"/>
      <w:autoSpaceDN w:val="false"/>
      <w:adjustRightInd w:val="false"/>
      <w:spacing w:after="0" w:lineRule="auto" w:line="240"/>
    </w:pPr>
    <w:rPr>
      <w:rFonts w:ascii="Calibri" w:cs="Calibri" w:eastAsia="Calibri" w:hAnsi="Calibri"/>
      <w:color w:val="000000"/>
      <w:sz w:val="24"/>
      <w:szCs w:val="24"/>
      <w:lang w:val="en-US"/>
    </w:rPr>
  </w:style>
  <w:style w:type="table" w:styleId="style154">
    <w:name w:val="Table Grid"/>
    <w:basedOn w:val="style105"/>
    <w:next w:val="style154"/>
    <w:uiPriority w:val="59"/>
    <w:pPr>
      <w:spacing w:after="0" w:lineRule="auto" w:line="24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customStyle="1" w:styleId="style4101">
    <w:name w:val="&quot;List Paragraph&quot;"/>
    <w:next w:val="style4101"/>
    <w:qFormat/>
    <w:pPr>
      <w:spacing w:after="0"/>
    </w:pPr>
    <w:rPr>
      <w:sz w:val="21"/>
    </w:r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1" Type="http://schemas.openxmlformats.org/officeDocument/2006/relationships/numbering" Target="numbering.xml"/><Relationship Id="rId4"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theme" Target="theme/theme1.xml"/><Relationship Id="rId5"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Words>2316</Words>
  <Characters>12436</Characters>
  <Application>WPS Office</Application>
  <DocSecurity>0</DocSecurity>
  <Paragraphs>160</Paragraphs>
  <ScaleCrop>false</ScaleCrop>
  <LinksUpToDate>false</LinksUpToDate>
  <CharactersWithSpaces>15215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2015-01-26T12:24:00Z</dcterms:created>
  <dc:creator>kemipher</dc:creator>
  <lastModifiedBy>Eugene it1502</lastModifiedBy>
  <dcterms:modified xsi:type="dcterms:W3CDTF">2016-11-21T19:24:20Z</dcterms:modified>
  <revision>2</revision>
</coreProperties>
</file>

<file path=docProps/custom.xml><?xml version="1.0" encoding="utf-8"?>
<Properties xmlns="http://schemas.openxmlformats.org/officeDocument/2006/custom-properties" xmlns:vt="http://schemas.openxmlformats.org/officeDocument/2006/docPropsVTypes"/>
</file>