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4FB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79AC">
            <w:pPr>
              <w:pStyle w:val="Default"/>
              <w:rPr>
                <w:rFonts w:asciiTheme="minorHAnsi" w:hAnsiTheme="minorHAnsi"/>
              </w:rPr>
            </w:pPr>
            <w:proofErr w:type="spellStart"/>
            <w:r>
              <w:rPr>
                <w:rFonts w:asciiTheme="minorHAnsi" w:hAnsiTheme="minorHAnsi"/>
              </w:rPr>
              <w:t>Shedxae</w:t>
            </w:r>
            <w:proofErr w:type="spellEnd"/>
            <w:r>
              <w:rPr>
                <w:rFonts w:asciiTheme="minorHAnsi" w:hAnsiTheme="minorHAnsi"/>
              </w:rPr>
              <w:t xml:space="preserve"> </w:t>
            </w:r>
            <w:proofErr w:type="spellStart"/>
            <w:r>
              <w:rPr>
                <w:rFonts w:asciiTheme="minorHAnsi" w:hAnsiTheme="minorHAnsi"/>
              </w:rPr>
              <w:t>xishee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979AC">
            <w:pPr>
              <w:pStyle w:val="Default"/>
              <w:rPr>
                <w:rFonts w:asciiTheme="minorHAnsi" w:hAnsiTheme="minorHAnsi"/>
              </w:rPr>
            </w:pPr>
            <w:r>
              <w:rPr>
                <w:rFonts w:asciiTheme="minorHAnsi" w:hAnsiTheme="minorHAnsi"/>
              </w:rPr>
              <w:t>2315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79AC">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79AC">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979AC" w:rsidRPr="00ED4C0D" w:rsidRDefault="00A979AC" w:rsidP="00A979AC">
            <w:pPr>
              <w:pStyle w:val="NormalWeb"/>
              <w:shd w:val="clear" w:color="auto" w:fill="FFFFFF"/>
              <w:spacing w:before="0" w:beforeAutospacing="0" w:after="0" w:afterAutospacing="0"/>
              <w:jc w:val="both"/>
              <w:rPr>
                <w:color w:val="111111"/>
              </w:rPr>
            </w:pPr>
            <w:r w:rsidRPr="00ED4C0D">
              <w:rPr>
                <w:color w:val="111111"/>
              </w:rPr>
              <w:t>ASSESSMENT#13</w:t>
            </w:r>
          </w:p>
          <w:p w:rsidR="00A979AC" w:rsidRPr="00ED4C0D" w:rsidRDefault="00A979AC" w:rsidP="00A979AC">
            <w:pPr>
              <w:shd w:val="clear" w:color="auto" w:fill="FFFFFF"/>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(1) </w:t>
            </w:r>
            <w:r w:rsidRPr="00ED4C0D">
              <w:rPr>
                <w:rFonts w:ascii="Times New Roman" w:eastAsia="Times New Roman" w:hAnsi="Times New Roman" w:cs="Times New Roman"/>
                <w:b/>
                <w:bCs/>
                <w:color w:val="333333"/>
                <w:sz w:val="24"/>
                <w:szCs w:val="24"/>
              </w:rPr>
              <w:t xml:space="preserve"> METHODS OF APPRAISING CAPITAL PROJECTS</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The recommended analytical methods for appraisal are generally discounted cash flow techniques which take into account the time value of money. People generally prefer to receive benefits as early as possible while paying costs as late as possible. Costs and benefits occur at different points in the life of the project so the valuation of costs and benefits must take into account the time at which they occur. This concept of time preference is fundamental to proper appraisal and so it is necessary to calculate the present values of all costs and benefits.</w:t>
            </w:r>
          </w:p>
          <w:p w:rsidR="00A979AC" w:rsidRPr="00ED4C0D" w:rsidRDefault="00A979AC" w:rsidP="00A979AC">
            <w:pPr>
              <w:shd w:val="clear" w:color="auto" w:fill="FFFFFF"/>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b/>
                <w:bCs/>
                <w:iCs/>
                <w:color w:val="333333"/>
                <w:sz w:val="24"/>
                <w:szCs w:val="24"/>
              </w:rPr>
              <w:t>Net Present Value Method (NPV)</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In the NPV method, the revenues and costs of a project are estimated and then are discounted and compared with the initial investment. The preferred option is that with the highest positive net present value. Projects with negative NPV values should be rejected because the present value of the stream of benefits is insufficient to recover the cost of the project.</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Compared to other investment appraisal techniques such as the IRR and the discounted payback period, the NPV is viewed as the most reliable technique to support investment appraisal decisions. There are some disadvantages with the NPV approach. If there are several independent and mutually exclusive projects, the NPV method will rank projects in order of descending NPV values. However, a smaller project with a lower NPV may be more attractive due to a higher ratio of discounted benefits to costs (see BCR below), particularly if there affordability constraints.</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 xml:space="preserve">Using different evaluation techniques for the same basic data may yield conflicting conclusions. In choosing between options A and B, the NPV method may suggest that option </w:t>
            </w:r>
            <w:r w:rsidRPr="00ED4C0D">
              <w:rPr>
                <w:rFonts w:ascii="Times New Roman" w:eastAsia="Times New Roman" w:hAnsi="Times New Roman" w:cs="Times New Roman"/>
                <w:color w:val="333333"/>
                <w:sz w:val="24"/>
                <w:szCs w:val="24"/>
              </w:rPr>
              <w:lastRenderedPageBreak/>
              <w:t>A is preferable, while the IRR method may suggest that option B is preferable. However in such cases, the results indicated by the NPV method are more reliable. The NPV method should be always be used where money values over time need to be appraised. Nevertheless, the other techniques also yield useful additional information and may be worth using.</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The key determinants of the NPV calculation are the appraisal horizon, the discount rate and the accuracy of estimates for costs and benefits.</w:t>
            </w:r>
          </w:p>
          <w:p w:rsidR="00A979AC" w:rsidRPr="00ED4C0D" w:rsidRDefault="00A979AC" w:rsidP="00A979AC">
            <w:pPr>
              <w:shd w:val="clear" w:color="auto" w:fill="FFFFFF"/>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b/>
                <w:bCs/>
                <w:iCs/>
                <w:color w:val="333333"/>
                <w:sz w:val="24"/>
                <w:szCs w:val="24"/>
              </w:rPr>
              <w:t>Discount rate</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The discount rate is a concept related to the NPV method. The discount rate is used to convert costs and benefits to present values to reflect the principle of time preference. The calculation of the discount rate can be based on a number of approaches including, among others:</w:t>
            </w:r>
          </w:p>
          <w:p w:rsidR="00A979AC" w:rsidRPr="00ED4C0D" w:rsidRDefault="00A979AC" w:rsidP="00A979AC">
            <w:pPr>
              <w:numPr>
                <w:ilvl w:val="0"/>
                <w:numId w:val="2"/>
              </w:numPr>
              <w:ind w:left="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The social rate of time preference</w:t>
            </w:r>
          </w:p>
          <w:p w:rsidR="00A979AC" w:rsidRPr="00ED4C0D" w:rsidRDefault="00A979AC" w:rsidP="00A979AC">
            <w:pPr>
              <w:numPr>
                <w:ilvl w:val="0"/>
                <w:numId w:val="2"/>
              </w:numPr>
              <w:ind w:left="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The opportunity cost of capital</w:t>
            </w:r>
          </w:p>
          <w:p w:rsidR="00A979AC" w:rsidRPr="00ED4C0D" w:rsidRDefault="00A979AC" w:rsidP="00A979AC">
            <w:pPr>
              <w:numPr>
                <w:ilvl w:val="0"/>
                <w:numId w:val="2"/>
              </w:numPr>
              <w:ind w:left="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Weighted average method</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The same basic discount rate (usually called the test discount rate or TDR) should be used in all cost-benefit and cost-effectiveness analyses of public sector projects.</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The current recommended TDR is 5%.  However, if a commercial State Sponsored Body is discounting projected cash flows for commercial projects, the cost of capital should be used or even a project-specific rate.</w:t>
            </w:r>
          </w:p>
          <w:p w:rsidR="00A979AC" w:rsidRPr="00ED4C0D" w:rsidRDefault="00A979AC" w:rsidP="00A979AC">
            <w:pPr>
              <w:shd w:val="clear" w:color="auto" w:fill="FFFFFF"/>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b/>
                <w:bCs/>
                <w:iCs/>
                <w:color w:val="333333"/>
                <w:sz w:val="24"/>
                <w:szCs w:val="24"/>
              </w:rPr>
              <w:t>Internal Rate of Return (IRR)</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The IRR is the discount rate which, when applied to net revenues of a project sets them equal to the initial investment. The preferred option is that with the IRR greatest in excess of a specified rate of return. An IRR of 10% means that with a discount rate of 10%, the project breaks even. The IRR approach is usually associated with a hurdle cost of capital/discount rate, against which the IRR is compared. The hurdle rate corresponds to the opportunity cost of capital. In the case of public projects, the hurdle rate is the TDR. If the IRR exceeds the hurdle rate, the project is accepted.</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There are disadvantages associated with the IRR as a performance indicator. It is not suitable for the ranking of competing projects. It is possible for two projects to have the same IRR but have different NPV values due to differences in the timing of costs and benefits. In addition, applying different appraisal techniques to the same basic data may yield contradictory conclusions.</w:t>
            </w:r>
          </w:p>
          <w:p w:rsidR="00A979AC" w:rsidRPr="00ED4C0D" w:rsidRDefault="00A979AC" w:rsidP="00A979AC">
            <w:pPr>
              <w:shd w:val="clear" w:color="auto" w:fill="FFFFFF"/>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b/>
                <w:bCs/>
                <w:iCs/>
                <w:color w:val="333333"/>
                <w:sz w:val="24"/>
                <w:szCs w:val="24"/>
              </w:rPr>
              <w:t>Benefit / Cost ratio (BCR)</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The BCR is the discounted net revenues divided by the initial investment. The preferred option is that with the ratio greatest in excess of 1. In any event, a project with a benefit cost ratio of less than one should generally not proceed. The advantage of this method is its simplicity.</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 xml:space="preserve">Using the BCR to rank projects can lead to suboptimal decisions as a project with a slightly higher BCR ratio will be selected over a project with a lower BCR even though the latter project has the capacity to generate much greater economic benefits because it has a higher </w:t>
            </w:r>
            <w:r w:rsidRPr="00ED4C0D">
              <w:rPr>
                <w:rFonts w:ascii="Times New Roman" w:eastAsia="Times New Roman" w:hAnsi="Times New Roman" w:cs="Times New Roman"/>
                <w:color w:val="333333"/>
                <w:sz w:val="24"/>
                <w:szCs w:val="24"/>
              </w:rPr>
              <w:lastRenderedPageBreak/>
              <w:t>NPV value and involves greater scale.</w:t>
            </w:r>
          </w:p>
          <w:p w:rsidR="00A979AC" w:rsidRPr="00ED4C0D" w:rsidRDefault="00A979AC" w:rsidP="00A979AC">
            <w:pPr>
              <w:shd w:val="clear" w:color="auto" w:fill="FFFFFF"/>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b/>
                <w:bCs/>
                <w:iCs/>
                <w:color w:val="333333"/>
                <w:sz w:val="24"/>
                <w:szCs w:val="24"/>
              </w:rPr>
              <w:t>Payback and Discounted payback</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 xml:space="preserve">The payback period is commonly used as an investment appraisal technique in the private sector and measures the length of time that it takes to recover the initial investment. However this method presents obvious drawbacks which prevent the ranking of projects. The method takes no account of the time value of money and neither does it take account of the earnings after the initial investment is recouped. For example, a project requires a €3 million investment and Option 1 returns €2 million in the first year and Option 2 returns €3 million for the same year. On this basis Option 2 is the preferred option as the payback period is shorter but if the </w:t>
            </w:r>
            <w:proofErr w:type="spellStart"/>
            <w:r w:rsidRPr="00ED4C0D">
              <w:rPr>
                <w:rFonts w:ascii="Times New Roman" w:eastAsia="Times New Roman" w:hAnsi="Times New Roman" w:cs="Times New Roman"/>
                <w:color w:val="333333"/>
                <w:sz w:val="24"/>
                <w:szCs w:val="24"/>
              </w:rPr>
              <w:t>cashflows</w:t>
            </w:r>
            <w:proofErr w:type="spellEnd"/>
            <w:r w:rsidRPr="00ED4C0D">
              <w:rPr>
                <w:rFonts w:ascii="Times New Roman" w:eastAsia="Times New Roman" w:hAnsi="Times New Roman" w:cs="Times New Roman"/>
                <w:color w:val="333333"/>
                <w:sz w:val="24"/>
                <w:szCs w:val="24"/>
              </w:rPr>
              <w:t xml:space="preserve"> changed in subsequent years and Option 1 returned €2 million annually  while Option 2 only earned €1 million annually, the chosen option would have been incorrect. The ordinary payback period should not be used as an appraisal technique for public investment projects.</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 xml:space="preserve">A variant of the payback method is the discounted payback period. The discounted payback period is the amount of time that it takes to cover the cost of a project, by adding the net positive discounted </w:t>
            </w:r>
            <w:proofErr w:type="spellStart"/>
            <w:r w:rsidRPr="00ED4C0D">
              <w:rPr>
                <w:rFonts w:ascii="Times New Roman" w:eastAsia="Times New Roman" w:hAnsi="Times New Roman" w:cs="Times New Roman"/>
                <w:color w:val="333333"/>
                <w:sz w:val="24"/>
                <w:szCs w:val="24"/>
              </w:rPr>
              <w:t>cashflows</w:t>
            </w:r>
            <w:proofErr w:type="spellEnd"/>
            <w:r w:rsidRPr="00ED4C0D">
              <w:rPr>
                <w:rFonts w:ascii="Times New Roman" w:eastAsia="Times New Roman" w:hAnsi="Times New Roman" w:cs="Times New Roman"/>
                <w:color w:val="333333"/>
                <w:sz w:val="24"/>
                <w:szCs w:val="24"/>
              </w:rPr>
              <w:t xml:space="preserve"> arising from the project. It should never be the sole appraisal method used to assess a project but is a useful performance indicator to </w:t>
            </w:r>
            <w:proofErr w:type="spellStart"/>
            <w:r w:rsidRPr="00ED4C0D">
              <w:rPr>
                <w:rFonts w:ascii="Times New Roman" w:eastAsia="Times New Roman" w:hAnsi="Times New Roman" w:cs="Times New Roman"/>
                <w:color w:val="333333"/>
                <w:sz w:val="24"/>
                <w:szCs w:val="24"/>
              </w:rPr>
              <w:t>contextualise</w:t>
            </w:r>
            <w:proofErr w:type="spellEnd"/>
            <w:r w:rsidRPr="00ED4C0D">
              <w:rPr>
                <w:rFonts w:ascii="Times New Roman" w:eastAsia="Times New Roman" w:hAnsi="Times New Roman" w:cs="Times New Roman"/>
                <w:color w:val="333333"/>
                <w:sz w:val="24"/>
                <w:szCs w:val="24"/>
              </w:rPr>
              <w:t xml:space="preserve"> the project’s anticipated performance.</w:t>
            </w:r>
          </w:p>
          <w:p w:rsidR="00A979AC" w:rsidRPr="00ED4C0D" w:rsidRDefault="00A979AC" w:rsidP="00A979AC">
            <w:pPr>
              <w:shd w:val="clear" w:color="auto" w:fill="FFFFFF"/>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b/>
                <w:bCs/>
                <w:iCs/>
                <w:color w:val="333333"/>
                <w:sz w:val="24"/>
                <w:szCs w:val="24"/>
              </w:rPr>
              <w:t>Sensitivity analysis</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An important feature of a comprehensive CBA is the inclusion of a risk assessment. The use of sensitivity analysis allows users of the CBA methodology to challenge the robustness of the results to changes in the assumptions made (i.e. discount rate, time horizon, estimated value of costs and benefits, etc). In doing so, it is possible to identify those parameters and assumptions to which the outcome of the analysis is most sensitive and therefore, allows the user to determine which assumptions and parameters may need to be re-examined and clarified.</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Sensitivity analysis is the process of establishing the outcomes of the cost benefit analysis which is sensitive to the assumed values used in the analysis.  This form of analysis should also be part of the appraisal for large projects. If an option is very sensitive to variations in a particular variable (e.g. passenger demand), then it should probably not be undertaken. If the relative merits of options change with the assumed values of variables, those values should be examined to see whether they can be made more reliable. It can be useful to attach probabilities to a range of values to help pick the best option.</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 xml:space="preserve">Sensitivity analysis requires a degree of exploratory analysis to ascertain the most sensitive variables and should lead to a risk management strategy involving risk mitigation measures to ensure the most pessimistic values for key variables do not </w:t>
            </w:r>
            <w:proofErr w:type="spellStart"/>
            <w:r w:rsidRPr="00ED4C0D">
              <w:rPr>
                <w:rFonts w:ascii="Times New Roman" w:eastAsia="Times New Roman" w:hAnsi="Times New Roman" w:cs="Times New Roman"/>
                <w:color w:val="333333"/>
                <w:sz w:val="24"/>
                <w:szCs w:val="24"/>
              </w:rPr>
              <w:t>materialise</w:t>
            </w:r>
            <w:proofErr w:type="spellEnd"/>
            <w:r w:rsidRPr="00ED4C0D">
              <w:rPr>
                <w:rFonts w:ascii="Times New Roman" w:eastAsia="Times New Roman" w:hAnsi="Times New Roman" w:cs="Times New Roman"/>
                <w:color w:val="333333"/>
                <w:sz w:val="24"/>
                <w:szCs w:val="24"/>
              </w:rPr>
              <w:t xml:space="preserve"> or can be managed appropriately if they do materialize. It is important to take into account the level of disaggregation of project inputs and benefits – sensitivity analysis based on a mix of highly aggregated and disaggregated variables may be misleading.</w:t>
            </w:r>
          </w:p>
          <w:p w:rsidR="00A979AC" w:rsidRPr="00ED4C0D" w:rsidRDefault="00A979AC" w:rsidP="00A979AC">
            <w:pPr>
              <w:shd w:val="clear" w:color="auto" w:fill="FFFFFF"/>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b/>
                <w:bCs/>
                <w:iCs/>
                <w:color w:val="333333"/>
                <w:sz w:val="24"/>
                <w:szCs w:val="24"/>
              </w:rPr>
              <w:t>Scenario analysis</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 xml:space="preserve">The scenario analysis technique is related to sensitivity analysis. Whereas the sensitivity analysis is based on a variable by variable approach, scenario analysis </w:t>
            </w:r>
            <w:proofErr w:type="spellStart"/>
            <w:r w:rsidRPr="00ED4C0D">
              <w:rPr>
                <w:rFonts w:ascii="Times New Roman" w:eastAsia="Times New Roman" w:hAnsi="Times New Roman" w:cs="Times New Roman"/>
                <w:color w:val="333333"/>
                <w:sz w:val="24"/>
                <w:szCs w:val="24"/>
              </w:rPr>
              <w:t>recognises</w:t>
            </w:r>
            <w:proofErr w:type="spellEnd"/>
            <w:r w:rsidRPr="00ED4C0D">
              <w:rPr>
                <w:rFonts w:ascii="Times New Roman" w:eastAsia="Times New Roman" w:hAnsi="Times New Roman" w:cs="Times New Roman"/>
                <w:color w:val="333333"/>
                <w:sz w:val="24"/>
                <w:szCs w:val="24"/>
              </w:rPr>
              <w:t xml:space="preserve"> that the </w:t>
            </w:r>
            <w:r w:rsidRPr="00ED4C0D">
              <w:rPr>
                <w:rFonts w:ascii="Times New Roman" w:eastAsia="Times New Roman" w:hAnsi="Times New Roman" w:cs="Times New Roman"/>
                <w:color w:val="333333"/>
                <w:sz w:val="24"/>
                <w:szCs w:val="24"/>
              </w:rPr>
              <w:lastRenderedPageBreak/>
              <w:t>various factors impacting upon the stream of costs and benefits are inter-independent. In other words, this approach assumes that that altering individual variables whilst holding the remainder constant is unrealistic (i.e. for a tourism project, it is unlikely that ticket sales and café-souvenir sales are independent). Rather, scenario analysis uses a range of scenarios (or variations on the option under examination) where all of the various factors can be reviewed and adjusted within a consistent framework.</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A number of scenarios are formulated – best case, worst case, etc – and for each scenario identified, a range of potential values is assigned for each cost and benefit variable. When formulating these scenarios, it is important that appropriate consideration is given to the sources of uncertainty about the future (i.e. technical, political, etc). Once the values within each scenario have been reviewed, the NPV of each scenario can then be recalculated.</w:t>
            </w:r>
          </w:p>
          <w:p w:rsidR="00A979AC" w:rsidRPr="00ED4C0D" w:rsidRDefault="00A979AC" w:rsidP="00A979AC">
            <w:pPr>
              <w:shd w:val="clear" w:color="auto" w:fill="FFFFFF"/>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b/>
                <w:bCs/>
                <w:iCs/>
                <w:color w:val="333333"/>
                <w:sz w:val="24"/>
                <w:szCs w:val="24"/>
              </w:rPr>
              <w:t>Switching values</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This process of substituting new values on a variable-by-variable basis can be referred to as the calculation of switching values. These can provide interesting insights such as what change(s) would make the NPV equal zero or alternatively, by how much must costs or benefits fall or rise, respectively, in order to make a project worthwhile. The switching value is usually presented as a % i.e. a 20% increase in investment costs reduces project NPV to 0.</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This is very useful information and should be afforded a prominent place in any decision-making process. Moreover, given the importance of this information the switching values chosen should be carefully considered and should be realistic and justifiable. For example, for capital projects requiring an Exchequer commitment over the medium to long-term, operating and maintenance costs should always be examined. Similarly, any project reliant upon user charges should always examine the impact of changes in volumes and the level of charges.</w:t>
            </w:r>
          </w:p>
          <w:p w:rsidR="00A979AC" w:rsidRPr="00ED4C0D" w:rsidRDefault="00A979AC" w:rsidP="00A979AC">
            <w:pPr>
              <w:shd w:val="clear" w:color="auto" w:fill="FFFFFF"/>
              <w:spacing w:after="360"/>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color w:val="333333"/>
                <w:sz w:val="24"/>
                <w:szCs w:val="24"/>
              </w:rPr>
              <w:t>Finally, the European Commission have suggested that when undertaking a sensitivity analysis a useful determinant of the most critical variables is those for which a 1 per cent variation (+/-) produces a corresponding variation of 5 per cent or more in the NPV.</w:t>
            </w:r>
          </w:p>
          <w:p w:rsidR="00A979AC" w:rsidRPr="00ED4C0D" w:rsidRDefault="00A979AC" w:rsidP="00A979AC">
            <w:pPr>
              <w:shd w:val="clear" w:color="auto" w:fill="FFFFFF"/>
              <w:textAlignment w:val="baseline"/>
              <w:rPr>
                <w:rFonts w:ascii="Times New Roman" w:eastAsia="Times New Roman" w:hAnsi="Times New Roman" w:cs="Times New Roman"/>
                <w:color w:val="333333"/>
                <w:sz w:val="24"/>
                <w:szCs w:val="24"/>
              </w:rPr>
            </w:pPr>
            <w:r w:rsidRPr="00ED4C0D">
              <w:rPr>
                <w:rFonts w:ascii="Times New Roman" w:eastAsia="Times New Roman" w:hAnsi="Times New Roman" w:cs="Times New Roman"/>
                <w:b/>
                <w:bCs/>
                <w:iCs/>
                <w:color w:val="333333"/>
                <w:sz w:val="24"/>
                <w:szCs w:val="24"/>
              </w:rPr>
              <w:t>Distributional Analysis</w:t>
            </w:r>
            <w:r w:rsidRPr="00ED4C0D">
              <w:rPr>
                <w:rFonts w:ascii="Times New Roman" w:eastAsia="Times New Roman" w:hAnsi="Times New Roman" w:cs="Times New Roman"/>
                <w:color w:val="333333"/>
                <w:sz w:val="24"/>
                <w:szCs w:val="24"/>
              </w:rPr>
              <w:t> The calculation of NPV’s makes no allowance for the distribution of costs and benefits among members of society. This is an important drawback if the intended objectives of a program me/project aimed at specific income groups. Differential impact may arise because of income, gender, ethnicity, age, geographical location or disability and any distributional effects should be explicit and quantified where appropriate. A common approach to take account of distributional issues is to divide the relevant population into different income groups and analyze the impact of the program me/project on these groups. Weights can be attached to the different groups to reflect Government policy. Carrying out a distributional analysis can be a difficult task because costs and benefits are redistributed in unintended ways.</w:t>
            </w:r>
          </w:p>
          <w:p w:rsidR="00A979AC" w:rsidRPr="00E81FBA" w:rsidRDefault="00A979AC" w:rsidP="00A979AC">
            <w:pPr>
              <w:shd w:val="clear" w:color="auto" w:fill="FFFFFF"/>
              <w:textAlignment w:val="baseline"/>
              <w:rPr>
                <w:rFonts w:ascii="Times New Roman" w:eastAsia="Times New Roman" w:hAnsi="Times New Roman" w:cs="Times New Roman"/>
                <w:color w:val="333333"/>
              </w:rPr>
            </w:pPr>
          </w:p>
          <w:p w:rsidR="00A979AC" w:rsidRPr="00ED4C0D" w:rsidRDefault="00A979AC" w:rsidP="00A979AC">
            <w:pPr>
              <w:pStyle w:val="NormalWeb"/>
              <w:shd w:val="clear" w:color="auto" w:fill="FFFFFF"/>
              <w:spacing w:before="0" w:beforeAutospacing="0" w:after="45" w:afterAutospacing="0"/>
              <w:textAlignment w:val="baseline"/>
              <w:rPr>
                <w:color w:val="000000"/>
                <w:sz w:val="22"/>
                <w:szCs w:val="22"/>
              </w:rPr>
            </w:pPr>
            <w:r w:rsidRPr="00E81FBA">
              <w:rPr>
                <w:color w:val="333333"/>
              </w:rPr>
              <w:t xml:space="preserve">(2   </w:t>
            </w:r>
            <w:r w:rsidRPr="00E81FBA">
              <w:rPr>
                <w:color w:val="333333"/>
              </w:rPr>
              <w:tab/>
            </w:r>
            <w:r w:rsidRPr="00ED4C0D">
              <w:rPr>
                <w:color w:val="000000"/>
                <w:sz w:val="22"/>
                <w:szCs w:val="22"/>
              </w:rPr>
              <w:t xml:space="preserve">To survive, a business must generate a positive cash flow, meaning that long-term cash outflows must be less than long-term cash inflows. Users rely on financial statements regarding cash flows to assess the ability of an organization to generate cash and cash equivalents to evaluate the company’s liquidity. The CFS also highlights the requirements of the organization to use those cash flows, which help indicate the organization’s solvency or ability to meet long-term expenses and to accomplish long-term expansion. The cash outflows may also signal financial flexibility that, in turn, </w:t>
            </w:r>
            <w:r w:rsidRPr="00ED4C0D">
              <w:rPr>
                <w:color w:val="000000"/>
                <w:sz w:val="22"/>
                <w:szCs w:val="22"/>
              </w:rPr>
              <w:lastRenderedPageBreak/>
              <w:t>suggests fewer restrictions may affect financing and investment decisions. Such information enables investors to predict dividends or interest the company will distribute. It also enables investors to evaluate the potential risk of an investment in or a business relationship with the company. In turn, management relies on the cash flow statement to predict future cash flow, which they use to budget for future operations.</w:t>
            </w:r>
          </w:p>
          <w:p w:rsidR="00A979AC" w:rsidRPr="00ED4C0D" w:rsidRDefault="00A979AC" w:rsidP="00A979AC">
            <w:pPr>
              <w:shd w:val="clear" w:color="auto" w:fill="FFFFFF"/>
              <w:textAlignment w:val="baseline"/>
              <w:outlineLvl w:val="1"/>
              <w:rPr>
                <w:rFonts w:ascii="Times New Roman" w:eastAsia="Times New Roman" w:hAnsi="Times New Roman" w:cs="Times New Roman"/>
                <w:color w:val="000000"/>
              </w:rPr>
            </w:pPr>
            <w:r w:rsidRPr="00ED4C0D">
              <w:rPr>
                <w:rFonts w:ascii="Times New Roman" w:eastAsia="Times New Roman" w:hAnsi="Times New Roman" w:cs="Times New Roman"/>
                <w:color w:val="000000"/>
              </w:rPr>
              <w:t>Statement of Cash Flows</w:t>
            </w:r>
          </w:p>
          <w:p w:rsidR="00A979AC" w:rsidRPr="00ED4C0D" w:rsidRDefault="00A979AC" w:rsidP="00A979AC">
            <w:pPr>
              <w:shd w:val="clear" w:color="auto" w:fill="FFFFFF"/>
              <w:spacing w:after="45"/>
              <w:textAlignment w:val="baseline"/>
              <w:rPr>
                <w:rFonts w:ascii="Times New Roman" w:eastAsia="Times New Roman" w:hAnsi="Times New Roman" w:cs="Times New Roman"/>
                <w:color w:val="000000"/>
              </w:rPr>
            </w:pPr>
            <w:r w:rsidRPr="00ED4C0D">
              <w:rPr>
                <w:rFonts w:ascii="Times New Roman" w:eastAsia="Times New Roman" w:hAnsi="Times New Roman" w:cs="Times New Roman"/>
                <w:color w:val="000000"/>
              </w:rPr>
              <w:t>Companies unable to generate sufficient cash to cover operating costs and debt service payments file bankruptcy. The success of a business depends on generating cash flows. As a result, Generally Accepted Accounting Principles require the creation of a statement of cash flows which documents both the sources and uses of cash during an accounting period, and thus the impact of a firm’s investing, financing and operating activities.</w:t>
            </w:r>
          </w:p>
          <w:p w:rsidR="00A979AC" w:rsidRPr="00ED4C0D" w:rsidRDefault="00A979AC" w:rsidP="00A979AC">
            <w:pPr>
              <w:shd w:val="clear" w:color="auto" w:fill="FFFFFF"/>
              <w:textAlignment w:val="baseline"/>
              <w:outlineLvl w:val="1"/>
              <w:rPr>
                <w:rFonts w:ascii="Times New Roman" w:eastAsia="Times New Roman" w:hAnsi="Times New Roman" w:cs="Times New Roman"/>
                <w:color w:val="000000"/>
              </w:rPr>
            </w:pPr>
            <w:r w:rsidRPr="00ED4C0D">
              <w:rPr>
                <w:rFonts w:ascii="Times New Roman" w:eastAsia="Times New Roman" w:hAnsi="Times New Roman" w:cs="Times New Roman"/>
                <w:color w:val="000000"/>
              </w:rPr>
              <w:t>Cash Inflows</w:t>
            </w:r>
          </w:p>
          <w:p w:rsidR="00A979AC" w:rsidRPr="00ED4C0D" w:rsidRDefault="00A979AC" w:rsidP="00A979AC">
            <w:pPr>
              <w:shd w:val="clear" w:color="auto" w:fill="FFFFFF"/>
              <w:spacing w:after="45"/>
              <w:textAlignment w:val="baseline"/>
              <w:rPr>
                <w:rFonts w:ascii="Times New Roman" w:eastAsia="Times New Roman" w:hAnsi="Times New Roman" w:cs="Times New Roman"/>
                <w:color w:val="000000"/>
              </w:rPr>
            </w:pPr>
            <w:r w:rsidRPr="00ED4C0D">
              <w:rPr>
                <w:rFonts w:ascii="Times New Roman" w:eastAsia="Times New Roman" w:hAnsi="Times New Roman" w:cs="Times New Roman"/>
                <w:color w:val="000000"/>
              </w:rPr>
              <w:t>Cash inflows include the transfer of funds to a company from another party as a result of core operations, investments or financing. Such cash inflows include payments to the company by customers and banks and the contribution of equity by investors who purchase the company’s stock or partial ownership in a company. Cash inflows also result from the sale of property, a plant or equipment as well as legal settlements. Such sources of cash also include loans, mortgages, and bonds.</w:t>
            </w:r>
          </w:p>
          <w:p w:rsidR="00A979AC" w:rsidRPr="00ED4C0D" w:rsidRDefault="00A979AC" w:rsidP="00A979AC">
            <w:pPr>
              <w:shd w:val="clear" w:color="auto" w:fill="FFFFFF"/>
              <w:textAlignment w:val="baseline"/>
              <w:outlineLvl w:val="1"/>
              <w:rPr>
                <w:rFonts w:ascii="Times New Roman" w:eastAsia="Times New Roman" w:hAnsi="Times New Roman" w:cs="Times New Roman"/>
                <w:color w:val="000000"/>
              </w:rPr>
            </w:pPr>
            <w:r w:rsidRPr="00ED4C0D">
              <w:rPr>
                <w:rFonts w:ascii="Times New Roman" w:eastAsia="Times New Roman" w:hAnsi="Times New Roman" w:cs="Times New Roman"/>
                <w:color w:val="000000"/>
              </w:rPr>
              <w:t>Cash Outflows</w:t>
            </w:r>
          </w:p>
          <w:p w:rsidR="00A979AC" w:rsidRPr="00ED4C0D" w:rsidRDefault="00A979AC" w:rsidP="00A979AC">
            <w:pPr>
              <w:shd w:val="clear" w:color="auto" w:fill="FFFFFF"/>
              <w:spacing w:after="45"/>
              <w:textAlignment w:val="baseline"/>
              <w:rPr>
                <w:rFonts w:ascii="Times New Roman" w:eastAsia="Times New Roman" w:hAnsi="Times New Roman" w:cs="Times New Roman"/>
                <w:color w:val="000000"/>
              </w:rPr>
            </w:pPr>
            <w:r w:rsidRPr="00ED4C0D">
              <w:rPr>
                <w:rFonts w:ascii="Times New Roman" w:eastAsia="Times New Roman" w:hAnsi="Times New Roman" w:cs="Times New Roman"/>
                <w:color w:val="000000"/>
              </w:rPr>
              <w:t>Cash outflows include the transfer of funds by a company to another party. Such cash outflows include payments to business partners including employees, suppliers or creditors. Cash outflows also occur when long-term assets are acquired, investments are purchased, or settlements and expenses are paid. The redemption of stock and the payment of cash dividends also result in the outflow of cash.</w:t>
            </w:r>
          </w:p>
          <w:p w:rsidR="00A979AC" w:rsidRPr="00ED4C0D" w:rsidRDefault="00A979AC" w:rsidP="00A979AC">
            <w:pPr>
              <w:shd w:val="clear" w:color="auto" w:fill="FFFFFF"/>
              <w:textAlignment w:val="baseline"/>
              <w:rPr>
                <w:rFonts w:ascii="Times New Roman" w:eastAsia="Times New Roman" w:hAnsi="Times New Roman" w:cs="Times New Roman"/>
                <w:color w:val="333333"/>
              </w:rPr>
            </w:pPr>
            <w:r w:rsidRPr="00ED4C0D">
              <w:rPr>
                <w:rFonts w:ascii="Times New Roman" w:eastAsia="Times New Roman" w:hAnsi="Times New Roman" w:cs="Times New Roman"/>
                <w:color w:val="333333"/>
              </w:rPr>
              <w:tab/>
            </w:r>
          </w:p>
          <w:p w:rsidR="00A979AC" w:rsidRPr="00ED4C0D" w:rsidRDefault="00A979AC" w:rsidP="00A979AC">
            <w:pPr>
              <w:shd w:val="clear" w:color="auto" w:fill="FFFFFF"/>
              <w:textAlignment w:val="baseline"/>
              <w:rPr>
                <w:rFonts w:ascii="Times New Roman" w:eastAsia="Times New Roman" w:hAnsi="Times New Roman" w:cs="Times New Roman"/>
                <w:color w:val="333333"/>
              </w:rPr>
            </w:pPr>
          </w:p>
          <w:p w:rsidR="00A979AC" w:rsidRPr="00ED4C0D" w:rsidRDefault="00A979AC" w:rsidP="00A979AC">
            <w:pPr>
              <w:shd w:val="clear" w:color="auto" w:fill="FFFFFF"/>
              <w:textAlignment w:val="baseline"/>
              <w:rPr>
                <w:rFonts w:ascii="Times New Roman" w:eastAsia="Times New Roman" w:hAnsi="Times New Roman" w:cs="Times New Roman"/>
                <w:color w:val="333333"/>
              </w:rPr>
            </w:pPr>
          </w:p>
          <w:p w:rsidR="00A979AC" w:rsidRPr="00ED4C0D" w:rsidRDefault="00A979AC" w:rsidP="00A979AC">
            <w:pPr>
              <w:shd w:val="clear" w:color="auto" w:fill="FFFFFF"/>
              <w:textAlignment w:val="baseline"/>
              <w:rPr>
                <w:rFonts w:ascii="Times New Roman" w:eastAsia="Times New Roman" w:hAnsi="Times New Roman" w:cs="Times New Roman"/>
                <w:color w:val="333333"/>
              </w:rPr>
            </w:pPr>
          </w:p>
          <w:p w:rsidR="00A979AC" w:rsidRPr="00ED4C0D" w:rsidRDefault="00A979AC" w:rsidP="00A979AC">
            <w:pPr>
              <w:rPr>
                <w:rFonts w:ascii="Times New Roman" w:eastAsia="Times New Roman" w:hAnsi="Times New Roman" w:cs="Times New Roman"/>
              </w:rPr>
            </w:pPr>
            <w:r w:rsidRPr="00ED4C0D">
              <w:rPr>
                <w:rFonts w:ascii="Times New Roman" w:eastAsia="Times New Roman" w:hAnsi="Times New Roman" w:cs="Times New Roman"/>
                <w:color w:val="000000"/>
                <w:shd w:val="clear" w:color="auto" w:fill="FFFFFF"/>
              </w:rPr>
              <w:t> </w:t>
            </w:r>
          </w:p>
          <w:p w:rsidR="00A979AC" w:rsidRPr="00E81FBA" w:rsidRDefault="00A979AC" w:rsidP="00A979AC">
            <w:pPr>
              <w:rPr>
                <w:rFonts w:ascii="Times New Roman" w:eastAsia="Times New Roman" w:hAnsi="Times New Roman" w:cs="Times New Roman"/>
              </w:rPr>
            </w:pPr>
            <w:r w:rsidRPr="00E81FBA">
              <w:rPr>
                <w:rFonts w:ascii="Times New Roman" w:hAnsi="Times New Roman" w:cs="Times New Roman"/>
                <w:color w:val="111111"/>
              </w:rPr>
              <w:br/>
            </w:r>
            <w:r w:rsidRPr="00E81FBA">
              <w:rPr>
                <w:rFonts w:ascii="Arial" w:eastAsia="Times New Roman" w:hAnsi="Arial" w:cs="Arial"/>
                <w:color w:val="000000"/>
                <w:shd w:val="clear" w:color="auto" w:fill="FFFFFF"/>
              </w:rPr>
              <w:t> </w:t>
            </w:r>
          </w:p>
          <w:p w:rsidR="00A979AC" w:rsidRPr="00E81FBA" w:rsidRDefault="00A979AC" w:rsidP="00A979AC">
            <w:pPr>
              <w:rPr>
                <w:rFonts w:ascii="Times New Roman" w:eastAsia="Times New Roman" w:hAnsi="Times New Roman" w:cs="Times New Roman"/>
              </w:rPr>
            </w:pPr>
            <w:r w:rsidRPr="00E81FBA">
              <w:rPr>
                <w:rFonts w:ascii="Arial" w:eastAsia="Times New Roman" w:hAnsi="Arial" w:cs="Arial"/>
                <w:color w:val="000000"/>
                <w:shd w:val="clear" w:color="auto" w:fill="FFFFFF"/>
              </w:rPr>
              <w:t> </w:t>
            </w:r>
          </w:p>
          <w:p w:rsidR="00A979AC" w:rsidRPr="00E81FBA" w:rsidRDefault="00A979AC" w:rsidP="00A979AC">
            <w:pPr>
              <w:shd w:val="clear" w:color="auto" w:fill="FFFFFF"/>
              <w:rPr>
                <w:rFonts w:ascii="Arial" w:eastAsia="Times New Roman" w:hAnsi="Arial" w:cs="Arial"/>
                <w:color w:val="000000"/>
              </w:rPr>
            </w:pPr>
          </w:p>
          <w:p w:rsidR="00A979AC" w:rsidRPr="00DE2156" w:rsidRDefault="00A979AC" w:rsidP="00A979AC">
            <w:pPr>
              <w:pStyle w:val="NormalWeb"/>
              <w:shd w:val="clear" w:color="auto" w:fill="FFFFFF"/>
              <w:spacing w:before="0" w:beforeAutospacing="0" w:after="0" w:afterAutospacing="0" w:line="360" w:lineRule="auto"/>
              <w:jc w:val="both"/>
              <w:rPr>
                <w:color w:val="222222"/>
                <w:sz w:val="22"/>
                <w:szCs w:val="22"/>
              </w:rPr>
            </w:pPr>
          </w:p>
          <w:p w:rsidR="00A979AC" w:rsidRPr="00E81FBA" w:rsidRDefault="00A979AC" w:rsidP="00A979AC">
            <w:pPr>
              <w:spacing w:line="360" w:lineRule="auto"/>
              <w:jc w:val="both"/>
              <w:rPr>
                <w:rFonts w:ascii="Times New Roman" w:hAnsi="Times New Roman" w:cs="Times New Roman"/>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79AC" w:rsidP="00A979AC">
            <w:pPr>
              <w:tabs>
                <w:tab w:val="left" w:pos="1072"/>
              </w:tabs>
              <w:rPr>
                <w:rFonts w:cs="Bliss-Regular"/>
                <w:color w:val="000000"/>
              </w:rPr>
            </w:pPr>
            <w:r>
              <w:rPr>
                <w:rFonts w:cs="Bliss-Regular"/>
                <w:color w:val="000000"/>
              </w:rPr>
              <w:tab/>
            </w:r>
            <w:proofErr w:type="spellStart"/>
            <w:r>
              <w:rPr>
                <w:rFonts w:cs="Bliss-Regular"/>
                <w:color w:val="000000"/>
              </w:rPr>
              <w:t>Shedxae</w:t>
            </w:r>
            <w:proofErr w:type="spellEnd"/>
            <w:r>
              <w:rPr>
                <w:rFonts w:cs="Bliss-Regular"/>
                <w:color w:val="000000"/>
              </w:rPr>
              <w:t xml:space="preserve"> </w:t>
            </w:r>
            <w:proofErr w:type="spellStart"/>
            <w:r>
              <w:rPr>
                <w:rFonts w:cs="Bliss-Regular"/>
                <w:color w:val="000000"/>
              </w:rPr>
              <w:t>xishee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79AC" w:rsidP="00A851DA">
            <w:pPr>
              <w:rPr>
                <w:rFonts w:cs="Bliss-Regular"/>
                <w:color w:val="000000"/>
              </w:rPr>
            </w:pPr>
            <w:r>
              <w:rPr>
                <w:rFonts w:cs="Bliss-Regular"/>
                <w:color w:val="000000"/>
              </w:rPr>
              <w:t>20/09/2016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8E3488"/>
    <w:multiLevelType w:val="multilevel"/>
    <w:tmpl w:val="1FD6DC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A4FBF"/>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79AC"/>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979A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2118</Words>
  <Characters>12075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cp:revision>
  <dcterms:created xsi:type="dcterms:W3CDTF">2016-09-20T14:21:00Z</dcterms:created>
  <dcterms:modified xsi:type="dcterms:W3CDTF">2016-09-20T14:21:00Z</dcterms:modified>
</cp:coreProperties>
</file>